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b/>
          <w:color w:val="973528"/>
          <w:sz w:val="17"/>
        </w:rPr>
        <w:t>TIME-SENSITIVE ADVISORY  •  CHECK FOR UPDATES BEFORE EACH USE</w:t>
      </w:r>
    </w:p>
    <w:p>
      <w:r>
        <w:t>Dated defensive reference. CHECK FOR UPDATES BEFORE EACH USE. PHP2Shell package availability, third-party appliance scope and exploitation evidence continue to change. The 23 October updates include CloudLinux package and repository corrections, Cisco product status, Sophos correction of an earlier success claim, expanded researcher-tested exploit coverage, and a separate PHP session advisory. A WAF or temporary PHP configuration is not a complete fix. A clean scan, unsuccessful attempt or installed package is not proof of a clean system. [S1-S3, S12, S17-S23]</w:t>
      </w:r>
    </w:p>
    <w:p>
      <w:pPr>
        <w:pStyle w:val="Title"/>
      </w:pPr>
      <w:r>
        <w:t>PHP2Shell</w:t>
      </w:r>
    </w:p>
    <w:p>
      <w:r>
        <w:rPr>
          <w:b/>
          <w:color w:val="11666E"/>
          <w:sz w:val="28"/>
        </w:rPr>
        <w:t>MSP EMERGENCY RESPONSE PLAYBOOK</w:t>
      </w:r>
    </w:p>
    <w:p>
      <w:pPr>
        <w:pStyle w:val="SmallNote"/>
      </w:pPr>
      <w:r>
        <w:t>Cross-customer discovery  |  risk decisions  |  patching  |  compromise review  |  verified closure</w:t>
      </w:r>
    </w:p>
    <w:p>
      <w:pPr>
        <w:pStyle w:val="SmallNote"/>
      </w:pPr>
      <w:r>
        <w:t>Version 1.2  |  Updated 23 October 2026  |  First published 21 October 2026  |  Free operational reference  |  Editable, unbranded</w:t>
      </w:r>
    </w:p>
    <w:p>
      <w:pPr>
        <w:pStyle w:val="Heading2"/>
      </w:pPr>
      <w:r>
        <w:t>Incident brief</w:t>
      </w:r>
    </w:p>
    <w:p>
      <w:r>
        <w:t>The PHP project addressed CVE-2026-109618 and CVE-2026-109619 on 21 October 2026 (both critical, CVSS v4.0 9.2). All web-serving PHP methods, including Apache mod_php, PHP-FPM, php-cgi, FrankenPHP and LiteSpeed, require review. mod_php is a special priority. Amazon saw attempted exploitation in honeypot telemetry as early as 17 October. Sophos corrected an initial October 22 report of successful customer compromise: subsequent investigation found scanning and failed attempts in its telemetry, not confirmed compromise. These observations do not prove that no other real-world compromises occurred. [S1-S3, S12, S17]</w:t>
      </w:r>
    </w:p>
    <w:p>
      <w:r>
        <w:t>The MSP response has two independent objectives: (1) establish the disposition of every reasonably in-scope customer dependency, including vendor-owned services; and (2) confirm remediation and investigate credible indications of exploitation. Updating a server does not retroactively prove that it was uncompromised.</w:t>
      </w:r>
    </w:p>
    <w:p>
      <w:pPr>
        <w:pStyle w:val="Heading2"/>
      </w:pPr>
      <w:r>
        <w:t>23 OCTOBER UPDATE | DECISIONS THAT CHANGE THE RESPONSE</w:t>
      </w:r>
    </w:p>
    <w:p>
      <w:pPr/>
      <w:r>
        <w:t>Evidence: maintain a retrospective review beginning at least 17 October on exposed assets when logs permit. Sophos withdrew its 22 October successful-exploitation assessment and now reports blocked/failed attempts, including failed Potassium delivery. Arctic Wolf describes malicious payload retrieval attempts without evidence that the observed requests downloaded or executed the malware. Classify scanning, attempts, blocked follow-on activity, laboratory RCE and verified victim compromise separately. [S12, S17-S18]</w:t>
      </w:r>
    </w:p>
    <w:p>
      <w:pPr/>
      <w:r>
        <w:t>Vendor changes: CloudLinux now reports all fixed alt-php and ea-php builds in stable and upstream-numbered packages for branches 8.2-8.5. Earlier documented backports can already be fixed. CloudLinux corrected its earlier advice: keep the ELS ALT PHP (php-els) repository enabled if installed. Cisco identifies Expressway, Expressway Select, Ultra-Reliable Wireless Backhaul and Duo Access Gateway as affected, with different fixed-release availability. Recheck cPanel, Plesk and Palo Alto notices by exact product/build. [S4-S5, S11, S13, S19-S21]</w:t>
      </w:r>
    </w:p>
    <w:p>
      <w:pPr/>
      <w:r>
        <w:t>Exploit and adjacent advisory: VulnCheck reports laboratory RCE for CVE-2026-109618 on mod_php PHP 8.4.10-8.4.26 and 8.5.10-8.5.11 on AMD64/ARM64 with production-style defaults; this does not demonstrate a compromised customer. PHP also published a 23 October informational advisory for distinct CVE-2026-115560 involving an unusual session serialization configuration. Keep session.upload_progress.enabled=0 until the next regular fix if following PHP mitigation guidance; apply PHP2Shell patches regardless. [S20, S22-S23]</w:t>
      </w:r>
    </w:p>
    <w:tbl>
      <w:tblPr>
        <w:tblW w:type="auto" w:w="0"/>
        <w:jc w:val="center"/>
        <w:tblLayout w:type="fixed"/>
        <w:tblLook w:firstColumn="1" w:firstRow="1" w:lastColumn="0" w:lastRow="0" w:noHBand="0" w:noVBand="1" w:val="04A0"/>
      </w:tblPr>
      <w:tblGrid>
        <w:gridCol w:w="1800"/>
        <w:gridCol w:w="2232"/>
        <w:gridCol w:w="5832"/>
      </w:tblGrid>
      <w:tr>
        <w:trPr>
          <w:tblHeader w:val="true"/>
          <w:tblHeader w:val="true"/>
        </w:trPr>
        <w:tc>
          <w:tcPr>
            <w:tcW w:type="dxa" w:w="3283"/>
            <w:shd w:fill="E7EFF2"/>
            <w:tcMar>
              <w:top w:w="110" w:type="dxa"/>
              <w:start w:w="105" w:type="dxa"/>
              <w:bottom w:w="110" w:type="dxa"/>
              <w:end w:w="105" w:type="dxa"/>
            </w:tcMar>
            <w:vAlign w:val="center"/>
          </w:tcPr>
          <w:p>
            <w:r>
              <w:rPr>
                <w:b/>
                <w:color w:val="173044"/>
                <w:sz w:val="16"/>
              </w:rPr>
              <w:t>Affected branch</w:t>
            </w:r>
          </w:p>
        </w:tc>
        <w:tc>
          <w:tcPr>
            <w:tcW w:type="dxa" w:w="3283"/>
            <w:shd w:fill="E7EFF2"/>
            <w:tcMar>
              <w:top w:w="110" w:type="dxa"/>
              <w:start w:w="105" w:type="dxa"/>
              <w:bottom w:w="110" w:type="dxa"/>
              <w:end w:w="105" w:type="dxa"/>
            </w:tcMar>
            <w:vAlign w:val="center"/>
          </w:tcPr>
          <w:p>
            <w:r>
              <w:rPr>
                <w:b/>
                <w:color w:val="173044"/>
                <w:sz w:val="16"/>
              </w:rPr>
              <w:t>Upstream fixed release</w:t>
            </w:r>
          </w:p>
        </w:tc>
        <w:tc>
          <w:tcPr>
            <w:tcW w:type="dxa" w:w="3283"/>
            <w:shd w:fill="E7EFF2"/>
            <w:tcMar>
              <w:top w:w="110" w:type="dxa"/>
              <w:start w:w="105" w:type="dxa"/>
              <w:bottom w:w="110" w:type="dxa"/>
              <w:end w:w="105" w:type="dxa"/>
            </w:tcMar>
            <w:vAlign w:val="center"/>
          </w:tcPr>
          <w:p>
            <w:r>
              <w:rPr>
                <w:b/>
                <w:color w:val="173044"/>
                <w:sz w:val="16"/>
              </w:rPr>
              <w:t>Important qualification</w:t>
            </w:r>
          </w:p>
        </w:tc>
      </w:tr>
      <w:tr>
        <w:tc>
          <w:tcPr>
            <w:tcW w:type="dxa" w:w="1800"/>
            <w:tcMar>
              <w:top w:w="85" w:type="dxa"/>
              <w:start w:w="105" w:type="dxa"/>
              <w:bottom w:w="80" w:type="dxa"/>
              <w:end w:w="100" w:type="dxa"/>
            </w:tcMar>
            <w:vAlign w:val="center"/>
          </w:tcPr>
          <w:p>
            <w:pPr>
              <w:spacing w:after="0"/>
            </w:pPr>
            <w:r>
              <w:rPr>
                <w:sz w:val="16"/>
              </w:rPr>
              <w:t>PHP 8.5</w:t>
            </w:r>
          </w:p>
        </w:tc>
        <w:tc>
          <w:tcPr>
            <w:tcW w:type="dxa" w:w="2232"/>
            <w:tcMar>
              <w:top w:w="85" w:type="dxa"/>
              <w:start w:w="105" w:type="dxa"/>
              <w:bottom w:w="80" w:type="dxa"/>
              <w:end w:w="100" w:type="dxa"/>
            </w:tcMar>
            <w:vAlign w:val="center"/>
          </w:tcPr>
          <w:p>
            <w:pPr>
              <w:spacing w:after="0"/>
            </w:pPr>
            <w:r>
              <w:rPr>
                <w:sz w:val="16"/>
              </w:rPr>
              <w:t>8.5.12</w:t>
            </w:r>
          </w:p>
        </w:tc>
        <w:tc>
          <w:tcPr>
            <w:tcW w:type="dxa" w:w="5832"/>
            <w:tcMar>
              <w:top w:w="85" w:type="dxa"/>
              <w:start w:w="105" w:type="dxa"/>
              <w:bottom w:w="80" w:type="dxa"/>
              <w:end w:w="100" w:type="dxa"/>
            </w:tcMar>
            <w:vAlign w:val="center"/>
          </w:tcPr>
          <w:p>
            <w:pPr>
              <w:spacing w:after="0"/>
            </w:pPr>
            <w:r>
              <w:rPr>
                <w:sz w:val="16"/>
              </w:rPr>
              <w:t>Also verify the running web-serving worker.</w:t>
            </w:r>
          </w:p>
        </w:tc>
      </w:tr>
      <w:tr>
        <w:tc>
          <w:tcPr>
            <w:tcW w:type="dxa" w:w="1800"/>
            <w:tcMar>
              <w:top w:w="85" w:type="dxa"/>
              <w:start w:w="105" w:type="dxa"/>
              <w:bottom w:w="80" w:type="dxa"/>
              <w:end w:w="100" w:type="dxa"/>
            </w:tcMar>
            <w:vAlign w:val="center"/>
          </w:tcPr>
          <w:p>
            <w:pPr>
              <w:spacing w:after="0"/>
            </w:pPr>
            <w:r>
              <w:rPr>
                <w:sz w:val="16"/>
              </w:rPr>
              <w:t>PHP 8.4</w:t>
            </w:r>
          </w:p>
        </w:tc>
        <w:tc>
          <w:tcPr>
            <w:tcW w:type="dxa" w:w="2232"/>
            <w:tcMar>
              <w:top w:w="85" w:type="dxa"/>
              <w:start w:w="105" w:type="dxa"/>
              <w:bottom w:w="80" w:type="dxa"/>
              <w:end w:w="100" w:type="dxa"/>
            </w:tcMar>
            <w:vAlign w:val="center"/>
          </w:tcPr>
          <w:p>
            <w:pPr>
              <w:spacing w:after="0"/>
            </w:pPr>
            <w:r>
              <w:rPr>
                <w:sz w:val="16"/>
              </w:rPr>
              <w:t>8.4.27</w:t>
            </w:r>
          </w:p>
        </w:tc>
        <w:tc>
          <w:tcPr>
            <w:tcW w:type="dxa" w:w="5832"/>
            <w:tcMar>
              <w:top w:w="85" w:type="dxa"/>
              <w:start w:w="105" w:type="dxa"/>
              <w:bottom w:w="80" w:type="dxa"/>
              <w:end w:w="100" w:type="dxa"/>
            </w:tcMar>
            <w:vAlign w:val="center"/>
          </w:tcPr>
          <w:p>
            <w:pPr>
              <w:spacing w:after="0"/>
            </w:pPr>
            <w:r>
              <w:rPr>
                <w:sz w:val="16"/>
              </w:rPr>
              <w:t>Windows NTS and TS packages differ.</w:t>
            </w:r>
          </w:p>
        </w:tc>
      </w:tr>
      <w:tr>
        <w:tc>
          <w:tcPr>
            <w:tcW w:type="dxa" w:w="1800"/>
            <w:tcMar>
              <w:top w:w="85" w:type="dxa"/>
              <w:start w:w="105" w:type="dxa"/>
              <w:bottom w:w="80" w:type="dxa"/>
              <w:end w:w="100" w:type="dxa"/>
            </w:tcMar>
            <w:vAlign w:val="center"/>
          </w:tcPr>
          <w:p>
            <w:pPr>
              <w:spacing w:after="0"/>
            </w:pPr>
            <w:r>
              <w:rPr>
                <w:sz w:val="16"/>
              </w:rPr>
              <w:t>PHP 8.3</w:t>
            </w:r>
          </w:p>
        </w:tc>
        <w:tc>
          <w:tcPr>
            <w:tcW w:type="dxa" w:w="2232"/>
            <w:tcMar>
              <w:top w:w="85" w:type="dxa"/>
              <w:start w:w="105" w:type="dxa"/>
              <w:bottom w:w="80" w:type="dxa"/>
              <w:end w:w="100" w:type="dxa"/>
            </w:tcMar>
            <w:vAlign w:val="center"/>
          </w:tcPr>
          <w:p>
            <w:pPr>
              <w:spacing w:after="0"/>
            </w:pPr>
            <w:r>
              <w:rPr>
                <w:sz w:val="16"/>
              </w:rPr>
              <w:t>8.3.36</w:t>
            </w:r>
          </w:p>
        </w:tc>
        <w:tc>
          <w:tcPr>
            <w:tcW w:type="dxa" w:w="5832"/>
            <w:tcMar>
              <w:top w:w="85" w:type="dxa"/>
              <w:start w:w="105" w:type="dxa"/>
              <w:bottom w:w="80" w:type="dxa"/>
              <w:end w:w="100" w:type="dxa"/>
            </w:tcMar>
            <w:vAlign w:val="center"/>
          </w:tcPr>
          <w:p>
            <w:pPr>
              <w:spacing w:after="0"/>
            </w:pPr>
            <w:r>
              <w:rPr>
                <w:sz w:val="16"/>
              </w:rPr>
              <w:t>Vendor packages may use backported fixes.</w:t>
            </w:r>
          </w:p>
        </w:tc>
      </w:tr>
      <w:tr>
        <w:tc>
          <w:tcPr>
            <w:tcW w:type="dxa" w:w="1800"/>
            <w:tcMar>
              <w:top w:w="85" w:type="dxa"/>
              <w:start w:w="105" w:type="dxa"/>
              <w:bottom w:w="80" w:type="dxa"/>
              <w:end w:w="100" w:type="dxa"/>
            </w:tcMar>
            <w:vAlign w:val="center"/>
          </w:tcPr>
          <w:p>
            <w:pPr>
              <w:spacing w:after="0"/>
            </w:pPr>
            <w:r>
              <w:rPr>
                <w:sz w:val="16"/>
              </w:rPr>
              <w:t>PHP 8.2</w:t>
            </w:r>
          </w:p>
        </w:tc>
        <w:tc>
          <w:tcPr>
            <w:tcW w:type="dxa" w:w="2232"/>
            <w:tcMar>
              <w:top w:w="85" w:type="dxa"/>
              <w:start w:w="105" w:type="dxa"/>
              <w:bottom w:w="80" w:type="dxa"/>
              <w:end w:w="100" w:type="dxa"/>
            </w:tcMar>
            <w:vAlign w:val="center"/>
          </w:tcPr>
          <w:p>
            <w:pPr>
              <w:spacing w:after="0"/>
            </w:pPr>
            <w:r>
              <w:rPr>
                <w:sz w:val="16"/>
              </w:rPr>
              <w:t>8.2.35</w:t>
            </w:r>
          </w:p>
        </w:tc>
        <w:tc>
          <w:tcPr>
            <w:tcW w:type="dxa" w:w="5832"/>
            <w:tcMar>
              <w:top w:w="85" w:type="dxa"/>
              <w:start w:w="105" w:type="dxa"/>
              <w:bottom w:w="80" w:type="dxa"/>
              <w:end w:w="100" w:type="dxa"/>
            </w:tcMar>
            <w:vAlign w:val="center"/>
          </w:tcPr>
          <w:p>
            <w:pPr>
              <w:spacing w:after="0"/>
            </w:pPr>
            <w:r>
              <w:rPr>
                <w:sz w:val="16"/>
              </w:rPr>
              <w:t>PHP project support ends 31 Dec 2026.</w:t>
            </w:r>
          </w:p>
        </w:tc>
      </w:tr>
      <w:tr>
        <w:tc>
          <w:tcPr>
            <w:tcW w:type="dxa" w:w="1800"/>
            <w:tcMar>
              <w:top w:w="85" w:type="dxa"/>
              <w:start w:w="105" w:type="dxa"/>
              <w:bottom w:w="80" w:type="dxa"/>
              <w:end w:w="100" w:type="dxa"/>
            </w:tcMar>
            <w:vAlign w:val="center"/>
          </w:tcPr>
          <w:p>
            <w:pPr>
              <w:spacing w:after="0"/>
            </w:pPr>
            <w:r>
              <w:rPr>
                <w:sz w:val="16"/>
              </w:rPr>
              <w:t>PHP 8.1 and older</w:t>
            </w:r>
          </w:p>
        </w:tc>
        <w:tc>
          <w:tcPr>
            <w:tcW w:type="dxa" w:w="2232"/>
            <w:tcMar>
              <w:top w:w="85" w:type="dxa"/>
              <w:start w:w="105" w:type="dxa"/>
              <w:bottom w:w="80" w:type="dxa"/>
              <w:end w:w="100" w:type="dxa"/>
            </w:tcMar>
            <w:vAlign w:val="center"/>
          </w:tcPr>
          <w:p>
            <w:pPr>
              <w:spacing w:after="0"/>
            </w:pPr>
            <w:r>
              <w:rPr>
                <w:sz w:val="16"/>
              </w:rPr>
              <w:t>No PHP project release</w:t>
            </w:r>
          </w:p>
        </w:tc>
        <w:tc>
          <w:tcPr>
            <w:tcW w:type="dxa" w:w="5832"/>
            <w:tcMar>
              <w:top w:w="85" w:type="dxa"/>
              <w:start w:w="105" w:type="dxa"/>
              <w:bottom w:w="80" w:type="dxa"/>
              <w:end w:w="100" w:type="dxa"/>
            </w:tcMar>
            <w:vAlign w:val="center"/>
          </w:tcPr>
          <w:p>
            <w:pPr>
              <w:spacing w:after="0"/>
            </w:pPr>
            <w:r>
              <w:rPr>
                <w:sz w:val="16"/>
              </w:rPr>
              <w:t>Use verified supported vendor backport or upgrade.</w:t>
            </w:r>
          </w:p>
        </w:tc>
      </w:tr>
    </w:tbl>
    <w:p>
      <w:pPr>
        <w:spacing w:after="0"/>
      </w:pPr>
    </w:p>
    <w:p>
      <w:pPr>
        <w:pStyle w:val="SmallNote"/>
      </w:pPr>
      <w:r>
        <w:t>Source: PHP Security Team [S1]. The table concerns upstream fixed releases. A vendor-maintained package can be fixed without changing the upstream version string. Never infer patch status from a single version command.</w:t>
      </w:r>
    </w:p>
    <w:p>
      <w:pPr/>
      <w:r>
        <w:t>Updated as of 23 October: the upstream fixed versions in the table have NOT changed. A rebase to the upstream number does not mean an earlier vendor-verified backport was vulnerable. Distinguish these two CVEs from separately disclosed CVE-2026-115560, which has not yet received its regular-cycle fix. [S1, S19, S23]</w:t>
      </w:r>
    </w:p>
    <w:p>
      <w:pPr>
        <w:pStyle w:val="Heading2"/>
      </w:pPr>
      <w:r>
        <w:t>Immediate response sequence</w:t>
      </w:r>
    </w:p>
    <w:tbl>
      <w:tblPr>
        <w:tblW w:type="auto" w:w="0"/>
        <w:jc w:val="center"/>
        <w:tblLayout w:type="fixed"/>
        <w:tblLook w:firstColumn="1" w:firstRow="1" w:lastColumn="0" w:lastRow="0" w:noHBand="0" w:noVBand="1" w:val="04A0"/>
      </w:tblPr>
      <w:tblGrid>
        <w:gridCol w:w="1699"/>
        <w:gridCol w:w="4824"/>
        <w:gridCol w:w="3341"/>
      </w:tblGrid>
      <w:tr>
        <w:trPr>
          <w:tblHeader w:val="true"/>
          <w:tblHeader w:val="true"/>
        </w:trPr>
        <w:tc>
          <w:tcPr>
            <w:tcW w:type="dxa" w:w="3283"/>
            <w:shd w:fill="E7EFF2"/>
            <w:tcMar>
              <w:top w:w="110" w:type="dxa"/>
              <w:start w:w="105" w:type="dxa"/>
              <w:bottom w:w="110" w:type="dxa"/>
              <w:end w:w="105" w:type="dxa"/>
            </w:tcMar>
            <w:vAlign w:val="center"/>
          </w:tcPr>
          <w:p>
            <w:r>
              <w:rPr>
                <w:b/>
                <w:color w:val="173044"/>
                <w:sz w:val="16"/>
              </w:rPr>
              <w:t>Window (guidance)</w:t>
            </w:r>
          </w:p>
        </w:tc>
        <w:tc>
          <w:tcPr>
            <w:tcW w:type="dxa" w:w="3283"/>
            <w:shd w:fill="E7EFF2"/>
            <w:tcMar>
              <w:top w:w="110" w:type="dxa"/>
              <w:start w:w="105" w:type="dxa"/>
              <w:bottom w:w="110" w:type="dxa"/>
              <w:end w:w="105" w:type="dxa"/>
            </w:tcMar>
            <w:vAlign w:val="center"/>
          </w:tcPr>
          <w:p>
            <w:r>
              <w:rPr>
                <w:b/>
                <w:color w:val="173044"/>
                <w:sz w:val="16"/>
              </w:rPr>
              <w:t>Action</w:t>
            </w:r>
          </w:p>
        </w:tc>
        <w:tc>
          <w:tcPr>
            <w:tcW w:type="dxa" w:w="3283"/>
            <w:shd w:fill="E7EFF2"/>
            <w:tcMar>
              <w:top w:w="110" w:type="dxa"/>
              <w:start w:w="105" w:type="dxa"/>
              <w:bottom w:w="110" w:type="dxa"/>
              <w:end w:w="105" w:type="dxa"/>
            </w:tcMar>
            <w:vAlign w:val="center"/>
          </w:tcPr>
          <w:p>
            <w:r>
              <w:rPr>
                <w:b/>
                <w:color w:val="173044"/>
                <w:sz w:val="16"/>
              </w:rPr>
              <w:t>Required evidence</w:t>
            </w:r>
          </w:p>
        </w:tc>
      </w:tr>
      <w:tr>
        <w:tc>
          <w:tcPr>
            <w:tcW w:type="dxa" w:w="1699"/>
            <w:tcMar>
              <w:top w:w="85" w:type="dxa"/>
              <w:start w:w="105" w:type="dxa"/>
              <w:bottom w:w="80" w:type="dxa"/>
              <w:end w:w="100" w:type="dxa"/>
            </w:tcMar>
            <w:vAlign w:val="center"/>
          </w:tcPr>
          <w:p>
            <w:pPr>
              <w:spacing w:after="0"/>
            </w:pPr>
            <w:r>
              <w:rPr>
                <w:sz w:val="16"/>
              </w:rPr>
              <w:t>First 60 minutes</w:t>
            </w:r>
          </w:p>
        </w:tc>
        <w:tc>
          <w:tcPr>
            <w:tcW w:type="dxa" w:w="4824"/>
            <w:tcMar>
              <w:top w:w="85" w:type="dxa"/>
              <w:start w:w="105" w:type="dxa"/>
              <w:bottom w:w="80" w:type="dxa"/>
              <w:end w:w="100" w:type="dxa"/>
            </w:tcMar>
            <w:vAlign w:val="center"/>
          </w:tcPr>
          <w:p>
            <w:pPr>
              <w:spacing w:after="0"/>
            </w:pPr>
            <w:r>
              <w:rPr>
                <w:sz w:val="16"/>
              </w:rPr>
              <w:t>Assign incident owner; establish customer scope; issue initial notice; pull authoritative sources.</w:t>
            </w:r>
          </w:p>
        </w:tc>
        <w:tc>
          <w:tcPr>
            <w:tcW w:type="dxa" w:w="3341"/>
            <w:tcMar>
              <w:top w:w="85" w:type="dxa"/>
              <w:start w:w="105" w:type="dxa"/>
              <w:bottom w:w="80" w:type="dxa"/>
              <w:end w:w="100" w:type="dxa"/>
            </w:tcMar>
            <w:vAlign w:val="center"/>
          </w:tcPr>
          <w:p>
            <w:pPr>
              <w:spacing w:after="0"/>
            </w:pPr>
            <w:r>
              <w:rPr>
                <w:sz w:val="16"/>
              </w:rPr>
              <w:t>Response ticket, owner, customer universe, advisory snapshot.</w:t>
            </w:r>
          </w:p>
        </w:tc>
      </w:tr>
      <w:tr>
        <w:tc>
          <w:tcPr>
            <w:tcW w:type="dxa" w:w="1699"/>
            <w:tcMar>
              <w:top w:w="85" w:type="dxa"/>
              <w:start w:w="105" w:type="dxa"/>
              <w:bottom w:w="80" w:type="dxa"/>
              <w:end w:w="100" w:type="dxa"/>
            </w:tcMar>
            <w:vAlign w:val="center"/>
          </w:tcPr>
          <w:p>
            <w:pPr>
              <w:spacing w:after="0"/>
            </w:pPr>
            <w:r>
              <w:rPr>
                <w:sz w:val="16"/>
              </w:rPr>
              <w:t>First 4 hours</w:t>
            </w:r>
          </w:p>
        </w:tc>
        <w:tc>
          <w:tcPr>
            <w:tcW w:type="dxa" w:w="4824"/>
            <w:tcMar>
              <w:top w:w="85" w:type="dxa"/>
              <w:start w:w="105" w:type="dxa"/>
              <w:bottom w:w="80" w:type="dxa"/>
              <w:end w:w="100" w:type="dxa"/>
            </w:tcMar>
            <w:vAlign w:val="center"/>
          </w:tcPr>
          <w:p>
            <w:pPr>
              <w:spacing w:after="0"/>
            </w:pPr>
            <w:r>
              <w:rPr>
                <w:sz w:val="16"/>
              </w:rPr>
              <w:t>Identify internet-exposed PHP and critical vendors; assign P0/P1 priorities; approve changes.</w:t>
            </w:r>
          </w:p>
        </w:tc>
        <w:tc>
          <w:tcPr>
            <w:tcW w:type="dxa" w:w="3341"/>
            <w:tcMar>
              <w:top w:w="85" w:type="dxa"/>
              <w:start w:w="105" w:type="dxa"/>
              <w:bottom w:w="80" w:type="dxa"/>
              <w:end w:w="100" w:type="dxa"/>
            </w:tcMar>
            <w:vAlign w:val="center"/>
          </w:tcPr>
          <w:p>
            <w:pPr>
              <w:spacing w:after="0"/>
            </w:pPr>
            <w:r>
              <w:rPr>
                <w:sz w:val="16"/>
              </w:rPr>
              <w:t>Asset leads, ownership, exposure and authorization records.</w:t>
            </w:r>
          </w:p>
        </w:tc>
      </w:tr>
      <w:tr>
        <w:tc>
          <w:tcPr>
            <w:tcW w:type="dxa" w:w="1699"/>
            <w:tcMar>
              <w:top w:w="85" w:type="dxa"/>
              <w:start w:w="105" w:type="dxa"/>
              <w:bottom w:w="80" w:type="dxa"/>
              <w:end w:w="100" w:type="dxa"/>
            </w:tcMar>
            <w:vAlign w:val="center"/>
          </w:tcPr>
          <w:p>
            <w:pPr>
              <w:spacing w:after="0"/>
            </w:pPr>
            <w:r>
              <w:rPr>
                <w:sz w:val="16"/>
              </w:rPr>
              <w:t>First 24 hours</w:t>
            </w:r>
          </w:p>
        </w:tc>
        <w:tc>
          <w:tcPr>
            <w:tcW w:type="dxa" w:w="4824"/>
            <w:tcMar>
              <w:top w:w="85" w:type="dxa"/>
              <w:start w:w="105" w:type="dxa"/>
              <w:bottom w:w="80" w:type="dxa"/>
              <w:end w:w="100" w:type="dxa"/>
            </w:tcMar>
            <w:vAlign w:val="center"/>
          </w:tcPr>
          <w:p>
            <w:pPr>
              <w:spacing w:after="0"/>
            </w:pPr>
            <w:r>
              <w:rPr>
                <w:sz w:val="16"/>
              </w:rPr>
              <w:t>Apply available patches or isolate; validate workers; hunt on exposed assets.</w:t>
            </w:r>
          </w:p>
        </w:tc>
        <w:tc>
          <w:tcPr>
            <w:tcW w:type="dxa" w:w="3341"/>
            <w:tcMar>
              <w:top w:w="85" w:type="dxa"/>
              <w:start w:w="105" w:type="dxa"/>
              <w:bottom w:w="80" w:type="dxa"/>
              <w:end w:w="100" w:type="dxa"/>
            </w:tcMar>
            <w:vAlign w:val="center"/>
          </w:tcPr>
          <w:p>
            <w:pPr>
              <w:spacing w:after="0"/>
            </w:pPr>
            <w:r>
              <w:rPr>
                <w:sz w:val="16"/>
              </w:rPr>
              <w:t>Before/after runtime evidence, change tests, investigation notes.</w:t>
            </w:r>
          </w:p>
        </w:tc>
      </w:tr>
      <w:tr>
        <w:tc>
          <w:tcPr>
            <w:tcW w:type="dxa" w:w="1699"/>
            <w:tcMar>
              <w:top w:w="85" w:type="dxa"/>
              <w:start w:w="105" w:type="dxa"/>
              <w:bottom w:w="80" w:type="dxa"/>
              <w:end w:w="100" w:type="dxa"/>
            </w:tcMar>
            <w:vAlign w:val="center"/>
          </w:tcPr>
          <w:p>
            <w:pPr>
              <w:spacing w:after="0"/>
            </w:pPr>
            <w:r>
              <w:rPr>
                <w:sz w:val="16"/>
              </w:rPr>
              <w:t>Until closure</w:t>
            </w:r>
          </w:p>
        </w:tc>
        <w:tc>
          <w:tcPr>
            <w:tcW w:type="dxa" w:w="4824"/>
            <w:tcMar>
              <w:top w:w="85" w:type="dxa"/>
              <w:start w:w="105" w:type="dxa"/>
              <w:bottom w:w="80" w:type="dxa"/>
              <w:end w:w="100" w:type="dxa"/>
            </w:tcMar>
            <w:vAlign w:val="center"/>
          </w:tcPr>
          <w:p>
            <w:pPr>
              <w:spacing w:after="0"/>
            </w:pPr>
            <w:r>
              <w:rPr>
                <w:sz w:val="16"/>
              </w:rPr>
              <w:t>Resolve unknowns, vendor dependencies and exceptions; send customer dispositions.</w:t>
            </w:r>
          </w:p>
        </w:tc>
        <w:tc>
          <w:tcPr>
            <w:tcW w:type="dxa" w:w="3341"/>
            <w:tcMar>
              <w:top w:w="85" w:type="dxa"/>
              <w:start w:w="105" w:type="dxa"/>
              <w:bottom w:w="80" w:type="dxa"/>
              <w:end w:w="100" w:type="dxa"/>
            </w:tcMar>
            <w:vAlign w:val="center"/>
          </w:tcPr>
          <w:p>
            <w:pPr>
              <w:spacing w:after="0"/>
            </w:pPr>
            <w:r>
              <w:rPr>
                <w:sz w:val="16"/>
              </w:rPr>
              <w:t>Verified status for every in-scope asset or documented open risk.</w:t>
            </w:r>
          </w:p>
        </w:tc>
      </w:tr>
    </w:tbl>
    <w:p>
      <w:pPr>
        <w:spacing w:after="0"/>
      </w:pPr>
    </w:p>
    <w:p>
      <w:pPr>
        <w:pStyle w:val="SmallNote"/>
      </w:pPr>
      <w:r>
        <w:t>These are operational targets, not regulatory deadlines. Adjust to contracts, risk, staffing and evidence. Suspected compromise triggers incident response at any point.</w:t>
      </w:r>
    </w:p>
    <w:p>
      <w:pPr>
        <w:pStyle w:val="Heading1"/>
      </w:pPr>
      <w:r>
        <w:t>1. Activate and govern the response</w:t>
      </w:r>
    </w:p>
    <w:p>
      <w:pPr>
        <w:pStyle w:val="Heading2"/>
      </w:pPr>
      <w:r>
        <w:t>1.1 One response, separate customer records</w:t>
      </w:r>
    </w:p>
    <w:p>
      <w:pPr>
        <w:spacing w:after="60"/>
        <w:ind w:left="288" w:hanging="259"/>
      </w:pPr>
      <w:r>
        <w:t>1.  Open one master vulnerability response record. List every customer in scope, including those requiring only third-party dependency validation.</w:t>
      </w:r>
    </w:p>
    <w:p>
      <w:pPr>
        <w:spacing w:after="60"/>
        <w:ind w:left="288" w:hanging="259"/>
      </w:pPr>
      <w:r>
        <w:t>2.  Assign an incident coordinator, discovery lead, remediation lead, threat-hunting lead, customer communication owner and quality reviewer. Small teams may combine roles but should separate execution from verification where practical.</w:t>
      </w:r>
    </w:p>
    <w:p>
      <w:pPr>
        <w:spacing w:after="60"/>
        <w:ind w:left="288" w:hanging="259"/>
      </w:pPr>
      <w:r>
        <w:t>3.  Confirm emergency-change authority for MSP-owned and customer-owned systems. Document downtime approval, maintenance constraints and sign-off requirements.</w:t>
      </w:r>
    </w:p>
    <w:p>
      <w:pPr>
        <w:spacing w:after="60"/>
        <w:ind w:left="288" w:hanging="259"/>
      </w:pPr>
      <w:r>
        <w:t>4.  Define a second track for possible incidents. A vulnerable system is not automatically compromised; credible indicators merit incident-response escalation.</w:t>
      </w:r>
    </w:p>
    <w:p>
      <w:pPr>
        <w:spacing w:after="60"/>
        <w:ind w:left="288" w:hanging="259"/>
      </w:pPr>
      <w:r>
        <w:t>5.  Record factual updates with timestamp, source and owner. Maintain a decision log for exceptions and disputed ownership.</w:t>
      </w:r>
    </w:p>
    <w:p>
      <w:pPr>
        <w:pStyle w:val="Heading2"/>
      </w:pPr>
      <w:r>
        <w:t>1.2 Responsibility and decision gates</w:t>
      </w:r>
    </w:p>
    <w:tbl>
      <w:tblPr>
        <w:tblW w:type="auto" w:w="0"/>
        <w:jc w:val="center"/>
        <w:tblLayout w:type="fixed"/>
        <w:tblLook w:firstColumn="1" w:firstRow="1" w:lastColumn="0" w:lastRow="0" w:noHBand="0" w:noVBand="1" w:val="04A0"/>
      </w:tblPr>
      <w:tblGrid>
        <w:gridCol w:w="2088"/>
        <w:gridCol w:w="1944"/>
        <w:gridCol w:w="5832"/>
      </w:tblGrid>
      <w:tr>
        <w:trPr>
          <w:tblHeader w:val="true"/>
          <w:tblHeader w:val="true"/>
        </w:trPr>
        <w:tc>
          <w:tcPr>
            <w:tcW w:type="dxa" w:w="3283"/>
            <w:shd w:fill="E7EFF2"/>
            <w:tcMar>
              <w:top w:w="110" w:type="dxa"/>
              <w:start w:w="105" w:type="dxa"/>
              <w:bottom w:w="110" w:type="dxa"/>
              <w:end w:w="105" w:type="dxa"/>
            </w:tcMar>
            <w:vAlign w:val="center"/>
          </w:tcPr>
          <w:p>
            <w:r>
              <w:rPr>
                <w:b/>
                <w:color w:val="173044"/>
                <w:sz w:val="16"/>
              </w:rPr>
              <w:t>Gate</w:t>
            </w:r>
          </w:p>
        </w:tc>
        <w:tc>
          <w:tcPr>
            <w:tcW w:type="dxa" w:w="3283"/>
            <w:shd w:fill="E7EFF2"/>
            <w:tcMar>
              <w:top w:w="110" w:type="dxa"/>
              <w:start w:w="105" w:type="dxa"/>
              <w:bottom w:w="110" w:type="dxa"/>
              <w:end w:w="105" w:type="dxa"/>
            </w:tcMar>
            <w:vAlign w:val="center"/>
          </w:tcPr>
          <w:p>
            <w:r>
              <w:rPr>
                <w:b/>
                <w:color w:val="173044"/>
                <w:sz w:val="16"/>
              </w:rPr>
              <w:t>Owner</w:t>
            </w:r>
          </w:p>
        </w:tc>
        <w:tc>
          <w:tcPr>
            <w:tcW w:type="dxa" w:w="3283"/>
            <w:shd w:fill="E7EFF2"/>
            <w:tcMar>
              <w:top w:w="110" w:type="dxa"/>
              <w:start w:w="105" w:type="dxa"/>
              <w:bottom w:w="110" w:type="dxa"/>
              <w:end w:w="105" w:type="dxa"/>
            </w:tcMar>
            <w:vAlign w:val="center"/>
          </w:tcPr>
          <w:p>
            <w:r>
              <w:rPr>
                <w:b/>
                <w:color w:val="173044"/>
                <w:sz w:val="16"/>
              </w:rPr>
              <w:t>Pass requirement</w:t>
            </w:r>
          </w:p>
        </w:tc>
      </w:tr>
      <w:tr>
        <w:tc>
          <w:tcPr>
            <w:tcW w:type="dxa" w:w="2088"/>
            <w:tcMar>
              <w:top w:w="85" w:type="dxa"/>
              <w:start w:w="105" w:type="dxa"/>
              <w:bottom w:w="80" w:type="dxa"/>
              <w:end w:w="100" w:type="dxa"/>
            </w:tcMar>
            <w:vAlign w:val="center"/>
          </w:tcPr>
          <w:p>
            <w:pPr>
              <w:spacing w:after="0"/>
            </w:pPr>
            <w:r>
              <w:rPr>
                <w:sz w:val="16"/>
              </w:rPr>
              <w:t>G1  Scope accepted</w:t>
            </w:r>
          </w:p>
        </w:tc>
        <w:tc>
          <w:tcPr>
            <w:tcW w:type="dxa" w:w="1944"/>
            <w:tcMar>
              <w:top w:w="85" w:type="dxa"/>
              <w:start w:w="105" w:type="dxa"/>
              <w:bottom w:w="80" w:type="dxa"/>
              <w:end w:w="100" w:type="dxa"/>
            </w:tcMar>
            <w:vAlign w:val="center"/>
          </w:tcPr>
          <w:p>
            <w:pPr>
              <w:spacing w:after="0"/>
            </w:pPr>
            <w:r>
              <w:rPr>
                <w:sz w:val="16"/>
              </w:rPr>
              <w:t>Response coordinator</w:t>
            </w:r>
          </w:p>
        </w:tc>
        <w:tc>
          <w:tcPr>
            <w:tcW w:type="dxa" w:w="5832"/>
            <w:tcMar>
              <w:top w:w="85" w:type="dxa"/>
              <w:start w:w="105" w:type="dxa"/>
              <w:bottom w:w="80" w:type="dxa"/>
              <w:end w:w="100" w:type="dxa"/>
            </w:tcMar>
            <w:vAlign w:val="center"/>
          </w:tcPr>
          <w:p>
            <w:pPr>
              <w:spacing w:after="0"/>
            </w:pPr>
            <w:r>
              <w:rPr>
                <w:sz w:val="16"/>
              </w:rPr>
              <w:t>Customer roster, managed scope, delegated services and unknowns recorded.</w:t>
            </w:r>
          </w:p>
        </w:tc>
      </w:tr>
      <w:tr>
        <w:tc>
          <w:tcPr>
            <w:tcW w:type="dxa" w:w="2088"/>
            <w:tcMar>
              <w:top w:w="85" w:type="dxa"/>
              <w:start w:w="105" w:type="dxa"/>
              <w:bottom w:w="80" w:type="dxa"/>
              <w:end w:w="100" w:type="dxa"/>
            </w:tcMar>
            <w:vAlign w:val="center"/>
          </w:tcPr>
          <w:p>
            <w:pPr>
              <w:spacing w:after="0"/>
            </w:pPr>
            <w:r>
              <w:rPr>
                <w:sz w:val="16"/>
              </w:rPr>
              <w:t>G2  Exposure assessed</w:t>
            </w:r>
          </w:p>
        </w:tc>
        <w:tc>
          <w:tcPr>
            <w:tcW w:type="dxa" w:w="1944"/>
            <w:tcMar>
              <w:top w:w="85" w:type="dxa"/>
              <w:start w:w="105" w:type="dxa"/>
              <w:bottom w:w="80" w:type="dxa"/>
              <w:end w:w="100" w:type="dxa"/>
            </w:tcMar>
            <w:vAlign w:val="center"/>
          </w:tcPr>
          <w:p>
            <w:pPr>
              <w:spacing w:after="0"/>
            </w:pPr>
            <w:r>
              <w:rPr>
                <w:sz w:val="16"/>
              </w:rPr>
              <w:t>Discovery lead</w:t>
            </w:r>
          </w:p>
        </w:tc>
        <w:tc>
          <w:tcPr>
            <w:tcW w:type="dxa" w:w="5832"/>
            <w:tcMar>
              <w:top w:w="85" w:type="dxa"/>
              <w:start w:w="105" w:type="dxa"/>
              <w:bottom w:w="80" w:type="dxa"/>
              <w:end w:w="100" w:type="dxa"/>
            </w:tcMar>
            <w:vAlign w:val="center"/>
          </w:tcPr>
          <w:p>
            <w:pPr>
              <w:spacing w:after="0"/>
            </w:pPr>
            <w:r>
              <w:rPr>
                <w:sz w:val="16"/>
              </w:rPr>
              <w:t>Each lead has evidence, owner and status; negatives have bounded scope.</w:t>
            </w:r>
          </w:p>
        </w:tc>
      </w:tr>
      <w:tr>
        <w:tc>
          <w:tcPr>
            <w:tcW w:type="dxa" w:w="2088"/>
            <w:tcMar>
              <w:top w:w="85" w:type="dxa"/>
              <w:start w:w="105" w:type="dxa"/>
              <w:bottom w:w="80" w:type="dxa"/>
              <w:end w:w="100" w:type="dxa"/>
            </w:tcMar>
            <w:vAlign w:val="center"/>
          </w:tcPr>
          <w:p>
            <w:pPr>
              <w:spacing w:after="0"/>
            </w:pPr>
            <w:r>
              <w:rPr>
                <w:sz w:val="16"/>
              </w:rPr>
              <w:t>G3  Change authorized</w:t>
            </w:r>
          </w:p>
        </w:tc>
        <w:tc>
          <w:tcPr>
            <w:tcW w:type="dxa" w:w="1944"/>
            <w:tcMar>
              <w:top w:w="85" w:type="dxa"/>
              <w:start w:w="105" w:type="dxa"/>
              <w:bottom w:w="80" w:type="dxa"/>
              <w:end w:w="100" w:type="dxa"/>
            </w:tcMar>
            <w:vAlign w:val="center"/>
          </w:tcPr>
          <w:p>
            <w:pPr>
              <w:spacing w:after="0"/>
            </w:pPr>
            <w:r>
              <w:rPr>
                <w:sz w:val="16"/>
              </w:rPr>
              <w:t>System/customer owner</w:t>
            </w:r>
          </w:p>
        </w:tc>
        <w:tc>
          <w:tcPr>
            <w:tcW w:type="dxa" w:w="5832"/>
            <w:tcMar>
              <w:top w:w="85" w:type="dxa"/>
              <w:start w:w="105" w:type="dxa"/>
              <w:bottom w:w="80" w:type="dxa"/>
              <w:end w:w="100" w:type="dxa"/>
            </w:tcMar>
            <w:vAlign w:val="center"/>
          </w:tcPr>
          <w:p>
            <w:pPr>
              <w:spacing w:after="0"/>
            </w:pPr>
            <w:r>
              <w:rPr>
                <w:sz w:val="16"/>
              </w:rPr>
              <w:t>Patch, isolation or exception has explicit approval.</w:t>
            </w:r>
          </w:p>
        </w:tc>
      </w:tr>
      <w:tr>
        <w:tc>
          <w:tcPr>
            <w:tcW w:type="dxa" w:w="2088"/>
            <w:tcMar>
              <w:top w:w="85" w:type="dxa"/>
              <w:start w:w="105" w:type="dxa"/>
              <w:bottom w:w="80" w:type="dxa"/>
              <w:end w:w="100" w:type="dxa"/>
            </w:tcMar>
            <w:vAlign w:val="center"/>
          </w:tcPr>
          <w:p>
            <w:pPr>
              <w:spacing w:after="0"/>
            </w:pPr>
            <w:r>
              <w:rPr>
                <w:sz w:val="16"/>
              </w:rPr>
              <w:t>G4  Patch verified</w:t>
            </w:r>
          </w:p>
        </w:tc>
        <w:tc>
          <w:tcPr>
            <w:tcW w:type="dxa" w:w="1944"/>
            <w:tcMar>
              <w:top w:w="85" w:type="dxa"/>
              <w:start w:w="105" w:type="dxa"/>
              <w:bottom w:w="80" w:type="dxa"/>
              <w:end w:w="100" w:type="dxa"/>
            </w:tcMar>
            <w:vAlign w:val="center"/>
          </w:tcPr>
          <w:p>
            <w:pPr>
              <w:spacing w:after="0"/>
            </w:pPr>
            <w:r>
              <w:rPr>
                <w:sz w:val="16"/>
              </w:rPr>
              <w:t>Independent reviewer</w:t>
            </w:r>
          </w:p>
        </w:tc>
        <w:tc>
          <w:tcPr>
            <w:tcW w:type="dxa" w:w="5832"/>
            <w:tcMar>
              <w:top w:w="85" w:type="dxa"/>
              <w:start w:w="105" w:type="dxa"/>
              <w:bottom w:w="80" w:type="dxa"/>
              <w:end w:w="100" w:type="dxa"/>
            </w:tcMar>
            <w:vAlign w:val="center"/>
          </w:tcPr>
          <w:p>
            <w:pPr>
              <w:spacing w:after="0"/>
            </w:pPr>
            <w:r>
              <w:rPr>
                <w:sz w:val="16"/>
              </w:rPr>
              <w:t>Serving runtime, workers and application function confirmed.</w:t>
            </w:r>
          </w:p>
        </w:tc>
      </w:tr>
      <w:tr>
        <w:tc>
          <w:tcPr>
            <w:tcW w:type="dxa" w:w="2088"/>
            <w:tcMar>
              <w:top w:w="85" w:type="dxa"/>
              <w:start w:w="105" w:type="dxa"/>
              <w:bottom w:w="80" w:type="dxa"/>
              <w:end w:w="100" w:type="dxa"/>
            </w:tcMar>
            <w:vAlign w:val="center"/>
          </w:tcPr>
          <w:p>
            <w:pPr>
              <w:spacing w:after="0"/>
            </w:pPr>
            <w:r>
              <w:rPr>
                <w:sz w:val="16"/>
              </w:rPr>
              <w:t>G5  Compromise disposition</w:t>
            </w:r>
          </w:p>
        </w:tc>
        <w:tc>
          <w:tcPr>
            <w:tcW w:type="dxa" w:w="1944"/>
            <w:tcMar>
              <w:top w:w="85" w:type="dxa"/>
              <w:start w:w="105" w:type="dxa"/>
              <w:bottom w:w="80" w:type="dxa"/>
              <w:end w:w="100" w:type="dxa"/>
            </w:tcMar>
            <w:vAlign w:val="center"/>
          </w:tcPr>
          <w:p>
            <w:pPr>
              <w:spacing w:after="0"/>
            </w:pPr>
            <w:r>
              <w:rPr>
                <w:sz w:val="16"/>
              </w:rPr>
              <w:t>Security lead</w:t>
            </w:r>
          </w:p>
        </w:tc>
        <w:tc>
          <w:tcPr>
            <w:tcW w:type="dxa" w:w="5832"/>
            <w:tcMar>
              <w:top w:w="85" w:type="dxa"/>
              <w:start w:w="105" w:type="dxa"/>
              <w:bottom w:w="80" w:type="dxa"/>
              <w:end w:w="100" w:type="dxa"/>
            </w:tcMar>
            <w:vAlign w:val="center"/>
          </w:tcPr>
          <w:p>
            <w:pPr>
              <w:spacing w:after="0"/>
            </w:pPr>
            <w:r>
              <w:rPr>
                <w:sz w:val="16"/>
              </w:rPr>
              <w:t>Threat-hunt results documented or escalated to IR.</w:t>
            </w:r>
          </w:p>
        </w:tc>
      </w:tr>
      <w:tr>
        <w:tc>
          <w:tcPr>
            <w:tcW w:type="dxa" w:w="2088"/>
            <w:tcMar>
              <w:top w:w="85" w:type="dxa"/>
              <w:start w:w="105" w:type="dxa"/>
              <w:bottom w:w="80" w:type="dxa"/>
              <w:end w:w="100" w:type="dxa"/>
            </w:tcMar>
            <w:vAlign w:val="center"/>
          </w:tcPr>
          <w:p>
            <w:pPr>
              <w:spacing w:after="0"/>
            </w:pPr>
            <w:r>
              <w:rPr>
                <w:sz w:val="16"/>
              </w:rPr>
              <w:t>G6  Customer closure</w:t>
            </w:r>
          </w:p>
        </w:tc>
        <w:tc>
          <w:tcPr>
            <w:tcW w:type="dxa" w:w="1944"/>
            <w:tcMar>
              <w:top w:w="85" w:type="dxa"/>
              <w:start w:w="105" w:type="dxa"/>
              <w:bottom w:w="80" w:type="dxa"/>
              <w:end w:w="100" w:type="dxa"/>
            </w:tcMar>
            <w:vAlign w:val="center"/>
          </w:tcPr>
          <w:p>
            <w:pPr>
              <w:spacing w:after="0"/>
            </w:pPr>
            <w:r>
              <w:rPr>
                <w:sz w:val="16"/>
              </w:rPr>
              <w:t>Account owner + coordinator</w:t>
            </w:r>
          </w:p>
        </w:tc>
        <w:tc>
          <w:tcPr>
            <w:tcW w:type="dxa" w:w="5832"/>
            <w:tcMar>
              <w:top w:w="85" w:type="dxa"/>
              <w:start w:w="105" w:type="dxa"/>
              <w:bottom w:w="80" w:type="dxa"/>
              <w:end w:w="100" w:type="dxa"/>
            </w:tcMar>
            <w:vAlign w:val="center"/>
          </w:tcPr>
          <w:p>
            <w:pPr>
              <w:spacing w:after="0"/>
            </w:pPr>
            <w:r>
              <w:rPr>
                <w:sz w:val="16"/>
              </w:rPr>
              <w:t>Residual risks, vendor dependencies and customer notice complete.</w:t>
            </w:r>
          </w:p>
        </w:tc>
      </w:tr>
    </w:tbl>
    <w:p>
      <w:pPr>
        <w:spacing w:after="0"/>
      </w:pPr>
    </w:p>
    <w:p>
      <w:r>
        <w:t>Stop conditions: no authority to change a system; suspected compromise requiring preservation; unverified patch source; material application outage risk; or ambiguous evidence that could create a false “safe” conclusion. Escalate rather than bypassing the gate.</w:t>
      </w:r>
    </w:p>
    <w:p>
      <w:pPr>
        <w:pStyle w:val="Heading1"/>
      </w:pPr>
      <w:r>
        <w:t>2. Define the customer exposure universe</w:t>
      </w:r>
    </w:p>
    <w:p>
      <w:pPr>
        <w:pStyle w:val="Heading2"/>
      </w:pPr>
      <w:r>
        <w:t>2.1 Investigate all four dependency classes</w:t>
      </w:r>
    </w:p>
    <w:tbl>
      <w:tblPr>
        <w:tblW w:type="auto" w:w="0"/>
        <w:jc w:val="center"/>
        <w:tblLayout w:type="fixed"/>
        <w:tblLook w:firstColumn="1" w:firstRow="1" w:lastColumn="0" w:lastRow="0" w:noHBand="0" w:noVBand="1" w:val="04A0"/>
      </w:tblPr>
      <w:tblGrid>
        <w:gridCol w:w="1800"/>
        <w:gridCol w:w="4464"/>
        <w:gridCol w:w="3600"/>
      </w:tblGrid>
      <w:tr>
        <w:trPr>
          <w:tblHeader w:val="true"/>
          <w:tblHeader w:val="true"/>
        </w:trPr>
        <w:tc>
          <w:tcPr>
            <w:tcW w:type="dxa" w:w="3283"/>
            <w:shd w:fill="E7EFF2"/>
            <w:tcMar>
              <w:top w:w="110" w:type="dxa"/>
              <w:start w:w="105" w:type="dxa"/>
              <w:bottom w:w="110" w:type="dxa"/>
              <w:end w:w="105" w:type="dxa"/>
            </w:tcMar>
            <w:vAlign w:val="center"/>
          </w:tcPr>
          <w:p>
            <w:r>
              <w:rPr>
                <w:b/>
                <w:color w:val="173044"/>
                <w:sz w:val="16"/>
              </w:rPr>
              <w:t>Class</w:t>
            </w:r>
          </w:p>
        </w:tc>
        <w:tc>
          <w:tcPr>
            <w:tcW w:type="dxa" w:w="3283"/>
            <w:shd w:fill="E7EFF2"/>
            <w:tcMar>
              <w:top w:w="110" w:type="dxa"/>
              <w:start w:w="105" w:type="dxa"/>
              <w:bottom w:w="110" w:type="dxa"/>
              <w:end w:w="105" w:type="dxa"/>
            </w:tcMar>
            <w:vAlign w:val="center"/>
          </w:tcPr>
          <w:p>
            <w:r>
              <w:rPr>
                <w:b/>
                <w:color w:val="173044"/>
                <w:sz w:val="16"/>
              </w:rPr>
              <w:t>Include</w:t>
            </w:r>
          </w:p>
        </w:tc>
        <w:tc>
          <w:tcPr>
            <w:tcW w:type="dxa" w:w="3283"/>
            <w:shd w:fill="E7EFF2"/>
            <w:tcMar>
              <w:top w:w="110" w:type="dxa"/>
              <w:start w:w="105" w:type="dxa"/>
              <w:bottom w:w="110" w:type="dxa"/>
              <w:end w:w="105" w:type="dxa"/>
            </w:tcMar>
            <w:vAlign w:val="center"/>
          </w:tcPr>
          <w:p>
            <w:r>
              <w:rPr>
                <w:b/>
                <w:color w:val="173044"/>
                <w:sz w:val="16"/>
              </w:rPr>
              <w:t>Control question</w:t>
            </w:r>
          </w:p>
        </w:tc>
      </w:tr>
      <w:tr>
        <w:tc>
          <w:tcPr>
            <w:tcW w:type="dxa" w:w="1800"/>
            <w:tcMar>
              <w:top w:w="85" w:type="dxa"/>
              <w:start w:w="105" w:type="dxa"/>
              <w:bottom w:w="80" w:type="dxa"/>
              <w:end w:w="100" w:type="dxa"/>
            </w:tcMar>
            <w:vAlign w:val="center"/>
          </w:tcPr>
          <w:p>
            <w:pPr>
              <w:spacing w:after="0"/>
            </w:pPr>
            <w:r>
              <w:rPr>
                <w:sz w:val="16"/>
              </w:rPr>
              <w:t>MSP-owned</w:t>
            </w:r>
          </w:p>
        </w:tc>
        <w:tc>
          <w:tcPr>
            <w:tcW w:type="dxa" w:w="4464"/>
            <w:tcMar>
              <w:top w:w="85" w:type="dxa"/>
              <w:start w:w="105" w:type="dxa"/>
              <w:bottom w:w="80" w:type="dxa"/>
              <w:end w:w="100" w:type="dxa"/>
            </w:tcMar>
            <w:vAlign w:val="center"/>
          </w:tcPr>
          <w:p>
            <w:pPr>
              <w:spacing w:after="0"/>
            </w:pPr>
            <w:r>
              <w:rPr>
                <w:sz w:val="16"/>
              </w:rPr>
              <w:t>Internal portals, RMM/PSA adjacent tools, monitoring, hosting, management UIs, dev systems.</w:t>
            </w:r>
          </w:p>
        </w:tc>
        <w:tc>
          <w:tcPr>
            <w:tcW w:type="dxa" w:w="3600"/>
            <w:tcMar>
              <w:top w:w="85" w:type="dxa"/>
              <w:start w:w="105" w:type="dxa"/>
              <w:bottom w:w="80" w:type="dxa"/>
              <w:end w:w="100" w:type="dxa"/>
            </w:tcMar>
            <w:vAlign w:val="center"/>
          </w:tcPr>
          <w:p>
            <w:pPr>
              <w:spacing w:after="0"/>
            </w:pPr>
            <w:r>
              <w:rPr>
                <w:sz w:val="16"/>
              </w:rPr>
              <w:t>Does this create cross-customer access or shared service exposure?</w:t>
            </w:r>
          </w:p>
        </w:tc>
      </w:tr>
      <w:tr>
        <w:tc>
          <w:tcPr>
            <w:tcW w:type="dxa" w:w="1800"/>
            <w:tcMar>
              <w:top w:w="85" w:type="dxa"/>
              <w:start w:w="105" w:type="dxa"/>
              <w:bottom w:w="80" w:type="dxa"/>
              <w:end w:w="100" w:type="dxa"/>
            </w:tcMar>
            <w:vAlign w:val="center"/>
          </w:tcPr>
          <w:p>
            <w:pPr>
              <w:spacing w:after="0"/>
            </w:pPr>
            <w:r>
              <w:rPr>
                <w:sz w:val="16"/>
              </w:rPr>
              <w:t>Customer-owned</w:t>
            </w:r>
          </w:p>
        </w:tc>
        <w:tc>
          <w:tcPr>
            <w:tcW w:type="dxa" w:w="4464"/>
            <w:tcMar>
              <w:top w:w="85" w:type="dxa"/>
              <w:start w:w="105" w:type="dxa"/>
              <w:bottom w:w="80" w:type="dxa"/>
              <w:end w:w="100" w:type="dxa"/>
            </w:tcMar>
            <w:vAlign w:val="center"/>
          </w:tcPr>
          <w:p>
            <w:pPr>
              <w:spacing w:after="0"/>
            </w:pPr>
            <w:r>
              <w:rPr>
                <w:sz w:val="16"/>
              </w:rPr>
              <w:t>Websites, intranets, internal apps, business systems, desktops running local services.</w:t>
            </w:r>
          </w:p>
        </w:tc>
        <w:tc>
          <w:tcPr>
            <w:tcW w:type="dxa" w:w="3600"/>
            <w:tcMar>
              <w:top w:w="85" w:type="dxa"/>
              <w:start w:w="105" w:type="dxa"/>
              <w:bottom w:w="80" w:type="dxa"/>
              <w:end w:w="100" w:type="dxa"/>
            </w:tcMar>
            <w:vAlign w:val="center"/>
          </w:tcPr>
          <w:p>
            <w:pPr>
              <w:spacing w:after="0"/>
            </w:pPr>
            <w:r>
              <w:rPr>
                <w:sz w:val="16"/>
              </w:rPr>
              <w:t>Is it in our support or advisory scope?</w:t>
            </w:r>
          </w:p>
        </w:tc>
      </w:tr>
      <w:tr>
        <w:tc>
          <w:tcPr>
            <w:tcW w:type="dxa" w:w="1800"/>
            <w:tcMar>
              <w:top w:w="85" w:type="dxa"/>
              <w:start w:w="105" w:type="dxa"/>
              <w:bottom w:w="80" w:type="dxa"/>
              <w:end w:w="100" w:type="dxa"/>
            </w:tcMar>
            <w:vAlign w:val="center"/>
          </w:tcPr>
          <w:p>
            <w:pPr>
              <w:spacing w:after="0"/>
            </w:pPr>
            <w:r>
              <w:rPr>
                <w:sz w:val="16"/>
              </w:rPr>
              <w:t>Cloud and containers</w:t>
            </w:r>
          </w:p>
        </w:tc>
        <w:tc>
          <w:tcPr>
            <w:tcW w:type="dxa" w:w="4464"/>
            <w:tcMar>
              <w:top w:w="85" w:type="dxa"/>
              <w:start w:w="105" w:type="dxa"/>
              <w:bottom w:w="80" w:type="dxa"/>
              <w:end w:w="100" w:type="dxa"/>
            </w:tcMar>
            <w:vAlign w:val="center"/>
          </w:tcPr>
          <w:p>
            <w:pPr>
              <w:spacing w:after="0"/>
            </w:pPr>
            <w:r>
              <w:rPr>
                <w:sz w:val="16"/>
              </w:rPr>
              <w:t>VMs, images, pods, managed runtimes, serverless functions, registries, CI/CD templates.</w:t>
            </w:r>
          </w:p>
        </w:tc>
        <w:tc>
          <w:tcPr>
            <w:tcW w:type="dxa" w:w="3600"/>
            <w:tcMar>
              <w:top w:w="85" w:type="dxa"/>
              <w:start w:w="105" w:type="dxa"/>
              <w:bottom w:w="80" w:type="dxa"/>
              <w:end w:w="100" w:type="dxa"/>
            </w:tcMar>
            <w:vAlign w:val="center"/>
          </w:tcPr>
          <w:p>
            <w:pPr>
              <w:spacing w:after="0"/>
            </w:pPr>
            <w:r>
              <w:rPr>
                <w:sz w:val="16"/>
              </w:rPr>
              <w:t>Who can rebuild and redeploy the underlying runtime?</w:t>
            </w:r>
          </w:p>
        </w:tc>
      </w:tr>
      <w:tr>
        <w:tc>
          <w:tcPr>
            <w:tcW w:type="dxa" w:w="1800"/>
            <w:tcMar>
              <w:top w:w="85" w:type="dxa"/>
              <w:start w:w="105" w:type="dxa"/>
              <w:bottom w:w="80" w:type="dxa"/>
              <w:end w:w="100" w:type="dxa"/>
            </w:tcMar>
            <w:vAlign w:val="center"/>
          </w:tcPr>
          <w:p>
            <w:pPr>
              <w:spacing w:after="0"/>
            </w:pPr>
            <w:r>
              <w:rPr>
                <w:sz w:val="16"/>
              </w:rPr>
              <w:t>Third-party</w:t>
            </w:r>
          </w:p>
        </w:tc>
        <w:tc>
          <w:tcPr>
            <w:tcW w:type="dxa" w:w="4464"/>
            <w:tcMar>
              <w:top w:w="85" w:type="dxa"/>
              <w:start w:w="105" w:type="dxa"/>
              <w:bottom w:w="80" w:type="dxa"/>
              <w:end w:w="100" w:type="dxa"/>
            </w:tcMar>
            <w:vAlign w:val="center"/>
          </w:tcPr>
          <w:p>
            <w:pPr>
              <w:spacing w:after="0"/>
            </w:pPr>
            <w:r>
              <w:rPr>
                <w:sz w:val="16"/>
              </w:rPr>
              <w:t>Website agencies, hosting panels, appliances, SaaS vendors and embedded PHP dependencies.</w:t>
            </w:r>
          </w:p>
        </w:tc>
        <w:tc>
          <w:tcPr>
            <w:tcW w:type="dxa" w:w="3600"/>
            <w:tcMar>
              <w:top w:w="85" w:type="dxa"/>
              <w:start w:w="105" w:type="dxa"/>
              <w:bottom w:w="80" w:type="dxa"/>
              <w:end w:w="100" w:type="dxa"/>
            </w:tcMar>
            <w:vAlign w:val="center"/>
          </w:tcPr>
          <w:p>
            <w:pPr>
              <w:spacing w:after="0"/>
            </w:pPr>
            <w:r>
              <w:rPr>
                <w:sz w:val="16"/>
              </w:rPr>
              <w:t>Who must attest to a fix, and how do we verify?</w:t>
            </w:r>
          </w:p>
        </w:tc>
      </w:tr>
    </w:tbl>
    <w:p>
      <w:pPr>
        <w:spacing w:after="0"/>
      </w:pPr>
    </w:p>
    <w:p>
      <w:pPr>
        <w:pStyle w:val="Heading2"/>
      </w:pPr>
      <w:r>
        <w:t>2.2 Correlate discovery sources</w:t>
      </w:r>
    </w:p>
    <w:p>
      <w:r>
        <w:t>Start with RMM inventories, EDR software discovery, vulnerability platforms and CMDB data. Reconcile against DNS/domain records, cloud control planes, public-facing application inventory, web hosting panels, network exposure maps, container catalogs, procurement/vendor lists, backup catalogs and tickets referencing PHP, WordPress, Drupal, Joomla or Magento. [S7-S8]</w:t>
      </w:r>
    </w:p>
    <w:p>
      <w:r>
        <w:t>Flag unmatched applications and asset groups as UNKNOWN. An inventory source that finds no PHP cannot prove PHP is absent. Shared-hosting control panels, vendor appliances and self-contained application stacks are frequent blind spots.</w:t>
      </w:r>
    </w:p>
    <w:p>
      <w:pPr>
        <w:pStyle w:val="Heading2"/>
      </w:pPr>
      <w:r>
        <w:t>2.3 Minimum per-asset record</w:t>
      </w:r>
    </w:p>
    <w:tbl>
      <w:tblPr>
        <w:tblW w:type="auto" w:w="0"/>
        <w:jc w:val="center"/>
        <w:tblLayout w:type="fixed"/>
        <w:tblLook w:firstColumn="1" w:firstRow="1" w:lastColumn="0" w:lastRow="0" w:noHBand="0" w:noVBand="1" w:val="04A0"/>
      </w:tblPr>
      <w:tblGrid>
        <w:gridCol w:w="1613"/>
        <w:gridCol w:w="8251"/>
      </w:tblGrid>
      <w:tr>
        <w:trPr>
          <w:tblHeader w:val="true"/>
          <w:tblHeader w:val="true"/>
        </w:trPr>
        <w:tc>
          <w:tcPr>
            <w:tcW w:type="dxa" w:w="4925"/>
            <w:shd w:fill="E7EFF2"/>
            <w:tcMar>
              <w:top w:w="110" w:type="dxa"/>
              <w:start w:w="105" w:type="dxa"/>
              <w:bottom w:w="110" w:type="dxa"/>
              <w:end w:w="105" w:type="dxa"/>
            </w:tcMar>
            <w:vAlign w:val="center"/>
          </w:tcPr>
          <w:p>
            <w:r>
              <w:rPr>
                <w:b/>
                <w:color w:val="173044"/>
                <w:sz w:val="16"/>
              </w:rPr>
              <w:t>Field group</w:t>
            </w:r>
          </w:p>
        </w:tc>
        <w:tc>
          <w:tcPr>
            <w:tcW w:type="dxa" w:w="4925"/>
            <w:shd w:fill="E7EFF2"/>
            <w:tcMar>
              <w:top w:w="110" w:type="dxa"/>
              <w:start w:w="105" w:type="dxa"/>
              <w:bottom w:w="110" w:type="dxa"/>
              <w:end w:w="105" w:type="dxa"/>
            </w:tcMar>
            <w:vAlign w:val="center"/>
          </w:tcPr>
          <w:p>
            <w:r>
              <w:rPr>
                <w:b/>
                <w:color w:val="173044"/>
                <w:sz w:val="16"/>
              </w:rPr>
              <w:t>Record</w:t>
            </w:r>
          </w:p>
        </w:tc>
      </w:tr>
      <w:tr>
        <w:tc>
          <w:tcPr>
            <w:tcW w:type="dxa" w:w="1613"/>
            <w:tcMar>
              <w:top w:w="85" w:type="dxa"/>
              <w:start w:w="105" w:type="dxa"/>
              <w:bottom w:w="80" w:type="dxa"/>
              <w:end w:w="100" w:type="dxa"/>
            </w:tcMar>
            <w:vAlign w:val="center"/>
          </w:tcPr>
          <w:p>
            <w:pPr>
              <w:spacing w:after="0"/>
            </w:pPr>
            <w:r>
              <w:rPr>
                <w:sz w:val="16"/>
              </w:rPr>
              <w:t>Identity</w:t>
            </w:r>
          </w:p>
        </w:tc>
        <w:tc>
          <w:tcPr>
            <w:tcW w:type="dxa" w:w="8251"/>
            <w:tcMar>
              <w:top w:w="85" w:type="dxa"/>
              <w:start w:w="105" w:type="dxa"/>
              <w:bottom w:w="80" w:type="dxa"/>
              <w:end w:w="100" w:type="dxa"/>
            </w:tcMar>
            <w:vAlign w:val="center"/>
          </w:tcPr>
          <w:p>
            <w:pPr>
              <w:spacing w:after="0"/>
            </w:pPr>
            <w:r>
              <w:rPr>
                <w:sz w:val="16"/>
              </w:rPr>
              <w:t>Customer ID; asset/service ID; hostname/domain; application name; production/development.</w:t>
            </w:r>
          </w:p>
        </w:tc>
      </w:tr>
      <w:tr>
        <w:tc>
          <w:tcPr>
            <w:tcW w:type="dxa" w:w="1613"/>
            <w:tcMar>
              <w:top w:w="85" w:type="dxa"/>
              <w:start w:w="105" w:type="dxa"/>
              <w:bottom w:w="80" w:type="dxa"/>
              <w:end w:w="100" w:type="dxa"/>
            </w:tcMar>
            <w:vAlign w:val="center"/>
          </w:tcPr>
          <w:p>
            <w:pPr>
              <w:spacing w:after="0"/>
            </w:pPr>
            <w:r>
              <w:rPr>
                <w:sz w:val="16"/>
              </w:rPr>
              <w:t>Technical</w:t>
            </w:r>
          </w:p>
        </w:tc>
        <w:tc>
          <w:tcPr>
            <w:tcW w:type="dxa" w:w="8251"/>
            <w:tcMar>
              <w:top w:w="85" w:type="dxa"/>
              <w:start w:w="105" w:type="dxa"/>
              <w:bottom w:w="80" w:type="dxa"/>
              <w:end w:w="100" w:type="dxa"/>
            </w:tcMar>
            <w:vAlign w:val="center"/>
          </w:tcPr>
          <w:p>
            <w:pPr>
              <w:spacing w:after="0"/>
            </w:pPr>
            <w:r>
              <w:rPr>
                <w:sz w:val="16"/>
              </w:rPr>
              <w:t>Web-serving PHP executable/module/image; SAPI; version; package release; OS; network exposure.</w:t>
            </w:r>
          </w:p>
        </w:tc>
      </w:tr>
      <w:tr>
        <w:tc>
          <w:tcPr>
            <w:tcW w:type="dxa" w:w="1613"/>
            <w:tcMar>
              <w:top w:w="85" w:type="dxa"/>
              <w:start w:w="105" w:type="dxa"/>
              <w:bottom w:w="80" w:type="dxa"/>
              <w:end w:w="100" w:type="dxa"/>
            </w:tcMar>
            <w:vAlign w:val="center"/>
          </w:tcPr>
          <w:p>
            <w:pPr>
              <w:spacing w:after="0"/>
            </w:pPr>
            <w:r>
              <w:rPr>
                <w:sz w:val="16"/>
              </w:rPr>
              <w:t>Management</w:t>
            </w:r>
          </w:p>
        </w:tc>
        <w:tc>
          <w:tcPr>
            <w:tcW w:type="dxa" w:w="8251"/>
            <w:tcMar>
              <w:top w:w="85" w:type="dxa"/>
              <w:start w:w="105" w:type="dxa"/>
              <w:bottom w:w="80" w:type="dxa"/>
              <w:end w:w="100" w:type="dxa"/>
            </w:tcMar>
            <w:vAlign w:val="center"/>
          </w:tcPr>
          <w:p>
            <w:pPr>
              <w:spacing w:after="0"/>
            </w:pPr>
            <w:r>
              <w:rPr>
                <w:sz w:val="16"/>
              </w:rPr>
              <w:t>MSP/customer/vendor owner; administrative authority; critical business process; change window.</w:t>
            </w:r>
          </w:p>
        </w:tc>
      </w:tr>
      <w:tr>
        <w:tc>
          <w:tcPr>
            <w:tcW w:type="dxa" w:w="1613"/>
            <w:tcMar>
              <w:top w:w="85" w:type="dxa"/>
              <w:start w:w="105" w:type="dxa"/>
              <w:bottom w:w="80" w:type="dxa"/>
              <w:end w:w="100" w:type="dxa"/>
            </w:tcMar>
            <w:vAlign w:val="center"/>
          </w:tcPr>
          <w:p>
            <w:pPr>
              <w:spacing w:after="0"/>
            </w:pPr>
            <w:r>
              <w:rPr>
                <w:sz w:val="16"/>
              </w:rPr>
              <w:t>Assessment</w:t>
            </w:r>
          </w:p>
        </w:tc>
        <w:tc>
          <w:tcPr>
            <w:tcW w:type="dxa" w:w="8251"/>
            <w:tcMar>
              <w:top w:w="85" w:type="dxa"/>
              <w:start w:w="105" w:type="dxa"/>
              <w:bottom w:w="80" w:type="dxa"/>
              <w:end w:w="100" w:type="dxa"/>
            </w:tcMar>
            <w:vAlign w:val="center"/>
          </w:tcPr>
          <w:p>
            <w:pPr>
              <w:spacing w:after="0"/>
            </w:pPr>
            <w:r>
              <w:rPr>
                <w:sz w:val="16"/>
              </w:rPr>
              <w:t>Discovery evidence; exact advisory/vendor source; risk class; suspected compromise review.</w:t>
            </w:r>
          </w:p>
        </w:tc>
      </w:tr>
      <w:tr>
        <w:tc>
          <w:tcPr>
            <w:tcW w:type="dxa" w:w="1613"/>
            <w:tcMar>
              <w:top w:w="85" w:type="dxa"/>
              <w:start w:w="105" w:type="dxa"/>
              <w:bottom w:w="80" w:type="dxa"/>
              <w:end w:w="100" w:type="dxa"/>
            </w:tcMar>
            <w:vAlign w:val="center"/>
          </w:tcPr>
          <w:p>
            <w:pPr>
              <w:spacing w:after="0"/>
            </w:pPr>
            <w:r>
              <w:rPr>
                <w:sz w:val="16"/>
              </w:rPr>
              <w:t>Remediation</w:t>
            </w:r>
          </w:p>
        </w:tc>
        <w:tc>
          <w:tcPr>
            <w:tcW w:type="dxa" w:w="8251"/>
            <w:tcMar>
              <w:top w:w="85" w:type="dxa"/>
              <w:start w:w="105" w:type="dxa"/>
              <w:bottom w:w="80" w:type="dxa"/>
              <w:end w:w="100" w:type="dxa"/>
            </w:tcMar>
            <w:vAlign w:val="center"/>
          </w:tcPr>
          <w:p>
            <w:pPr>
              <w:spacing w:after="0"/>
            </w:pPr>
            <w:r>
              <w:rPr>
                <w:sz w:val="16"/>
              </w:rPr>
              <w:t>Change ticket; approved option; before/after version; restart evidence; functionality checks.</w:t>
            </w:r>
          </w:p>
        </w:tc>
      </w:tr>
      <w:tr>
        <w:tc>
          <w:tcPr>
            <w:tcW w:type="dxa" w:w="1613"/>
            <w:tcMar>
              <w:top w:w="85" w:type="dxa"/>
              <w:start w:w="105" w:type="dxa"/>
              <w:bottom w:w="80" w:type="dxa"/>
              <w:end w:w="100" w:type="dxa"/>
            </w:tcMar>
            <w:vAlign w:val="center"/>
          </w:tcPr>
          <w:p>
            <w:pPr>
              <w:spacing w:after="0"/>
            </w:pPr>
            <w:r>
              <w:rPr>
                <w:sz w:val="16"/>
              </w:rPr>
              <w:t>Closure</w:t>
            </w:r>
          </w:p>
        </w:tc>
        <w:tc>
          <w:tcPr>
            <w:tcW w:type="dxa" w:w="8251"/>
            <w:tcMar>
              <w:top w:w="85" w:type="dxa"/>
              <w:start w:w="105" w:type="dxa"/>
              <w:bottom w:w="80" w:type="dxa"/>
              <w:end w:w="100" w:type="dxa"/>
            </w:tcMar>
            <w:vAlign w:val="center"/>
          </w:tcPr>
          <w:p>
            <w:pPr>
              <w:spacing w:after="0"/>
            </w:pPr>
            <w:r>
              <w:rPr>
                <w:sz w:val="16"/>
              </w:rPr>
              <w:t>Reviewer; UTC verification time; immutable evidence link; exception or open dependency.</w:t>
            </w:r>
          </w:p>
        </w:tc>
      </w:tr>
    </w:tbl>
    <w:p>
      <w:pPr>
        <w:spacing w:after="0"/>
      </w:pPr>
    </w:p>
    <w:p>
      <w:pPr>
        <w:pStyle w:val="Heading1"/>
      </w:pPr>
      <w:r>
        <w:t>3. Discover PHP without disturbing production</w:t>
      </w:r>
    </w:p>
    <w:p>
      <w:r>
        <w:t>Use locally authorized, read-only collection first. Do not run internet-facing exploit probes, proof-of-concept payloads, aggressive port scans or arbitrary binaries to establish exposure. Limit evidence collection to the customer and systems you are authorized to administer.</w:t>
      </w:r>
    </w:p>
    <w:p>
      <w:pPr>
        <w:pStyle w:val="Heading2"/>
      </w:pPr>
      <w:r>
        <w:t>3.1 Windows, IIS and local application stacks</w:t>
      </w:r>
    </w:p>
    <w:p>
      <w:r>
        <w:t>Check installed software and packages, known PHP paths, services, running processes, IIS FastCGI mappings, IIS site/application pool settings, web server configuration and any application-specific PHP stack. A CLI version can differ from the runtime serving a web request.</w:t>
      </w:r>
    </w:p>
    <w:p>
      <w:pPr>
        <w:pStyle w:val="CodeLine"/>
      </w:pPr>
      <w:r>
        <w:t>Get-Command php.exe -All -ErrorAction SilentlyContinue</w:t>
      </w:r>
    </w:p>
    <w:p>
      <w:pPr>
        <w:pStyle w:val="CodeLine"/>
      </w:pPr>
      <w:r>
        <w:t>Get-CimInstance Win32_Process | Where-Object { $_.Name -match</w:t>
      </w:r>
    </w:p>
    <w:p>
      <w:pPr>
        <w:pStyle w:val="CodeLine"/>
      </w:pPr>
      <w:r>
        <w:t xml:space="preserve">  '^(php|php-cgi|httpd|nginx|w3wp|iisexpress)\.exe$' } |</w:t>
      </w:r>
    </w:p>
    <w:p>
      <w:pPr>
        <w:pStyle w:val="CodeLine"/>
      </w:pPr>
      <w:r>
        <w:t xml:space="preserve">  Select-Object Name,ExecutablePath,ProcessId</w:t>
      </w:r>
    </w:p>
    <w:p>
      <w:pPr>
        <w:pStyle w:val="CodeLine"/>
      </w:pPr>
      <w:r>
        <w:t>Get-NetTCPConnection -State Listen | Select-Object LocalAddress,LocalPort,OwningProcess</w:t>
      </w:r>
    </w:p>
    <w:p>
      <w:r>
        <w:t>For IIS, review FastCGI application mappings and the absolute executable path. If PHP runs via an embedded module or separate service, verify that instance too. If a service listens only on 127.0.0.1 or ::1, record reduced network exposure, not automatic immunity. A local process could still consume untrusted input.</w:t>
      </w:r>
    </w:p>
    <w:p>
      <w:pPr>
        <w:pStyle w:val="SmallNote"/>
      </w:pPr>
      <w:r>
        <w:t>Companion script: Windows-PHP-Discovery.ps1. It records leads without invoking discovered executables. Its negative result is NOT proof of absence. Keep resulting path and host data confidential.</w:t>
      </w:r>
    </w:p>
    <w:p>
      <w:pPr>
        <w:pStyle w:val="Heading2"/>
      </w:pPr>
      <w:r>
        <w:t>3.2 Linux packages, services and workers</w:t>
      </w:r>
    </w:p>
    <w:p>
      <w:pPr>
        <w:pStyle w:val="CodeLine"/>
      </w:pPr>
      <w:r>
        <w:t>command -v php &amp;&amp; php -v</w:t>
      </w:r>
    </w:p>
    <w:p>
      <w:pPr>
        <w:pStyle w:val="CodeLine"/>
      </w:pPr>
      <w:r>
        <w:t>ps -eo pid,user,args | grep -E '[p]hp-fpm|[p]hp-cgi|[l]sphp|[a]pache2|[h]ttpd'</w:t>
      </w:r>
    </w:p>
    <w:p>
      <w:pPr>
        <w:pStyle w:val="CodeLine"/>
      </w:pPr>
      <w:r>
        <w:t>dpkg-query -W -f='${Package} ${Version}\n' 'php*'  # Debian family</w:t>
      </w:r>
    </w:p>
    <w:p>
      <w:pPr>
        <w:pStyle w:val="CodeLine"/>
      </w:pPr>
      <w:r>
        <w:t>rpm -qa | grep -E '^(php|ea-php|alt-php|plesk-php)' # RPM family</w:t>
      </w:r>
    </w:p>
    <w:p>
      <w:r>
        <w:t>Read the package vendor changelog and security update notes. Map each virtual host to the actual PHP handler, pool, module or binary. Check old workers after package updates. Distribution backports require package-level proof, not upstream version comparison alone. [S1]</w:t>
      </w:r>
    </w:p>
    <w:p>
      <w:pPr>
        <w:pStyle w:val="SmallNote"/>
      </w:pPr>
      <w:r>
        <w:t>Companion script: Linux-PHP-Discovery.sh. Validate from service configuration and vendor advisory before assigning a final status.</w:t>
      </w:r>
    </w:p>
    <w:p>
      <w:pPr>
        <w:pStyle w:val="Heading2"/>
      </w:pPr>
      <w:r>
        <w:t>3.3 Containers, orchestrators and PaaS</w:t>
      </w:r>
    </w:p>
    <w:p>
      <w:pPr>
        <w:pStyle w:val="CodeLine"/>
      </w:pPr>
      <w:r>
        <w:t>docker ps --format '{{.Names}} {{.Image}}'</w:t>
      </w:r>
    </w:p>
    <w:p>
      <w:pPr>
        <w:pStyle w:val="CodeLine"/>
      </w:pPr>
      <w:r>
        <w:t>kubectl get pods -A -o wide   # on authorized clusters only</w:t>
      </w:r>
    </w:p>
    <w:p>
      <w:r>
        <w:t>Inspect Dockerfiles, pinned base image digests, container contents, lockfiles, registries and runtime build manifests. A host package update does not change an already built container. Rebuild using fixed sources, redeploy, replace old replicas and verify the running image digest and in-container runtime.</w:t>
      </w:r>
    </w:p>
    <w:p>
      <w:pPr>
        <w:pStyle w:val="Heading2"/>
      </w:pPr>
      <w:r>
        <w:t>3.4 Managed hosting, control panels and appliances</w:t>
      </w:r>
    </w:p>
    <w:p>
      <w:r>
        <w:t>cPanel/WHM: check the panel build separately from each domain-selected EasyApache4 handler. Previously published fixed cPanel &amp; WHM builds include 110.0.153, 134.0.66, 136.0.50 and 138.0.18; verify the LIVE cPanel matrix. Plesk: check shipped PHP handlers AND sw-engine/plesk-engine, including backports whose displayed versions did not change. CloudLinux: distinguish native PHP, ea-php and alt-php, and verify exact package release, repository origin and running PHP workers. [S4-S5, S11, S19]</w:t>
      </w:r>
    </w:p>
    <w:p>
      <w:r>
        <w:t>Vendor appliances: include PAN-OS/Panorama management interfaces and Cisco Expressway Series, Expressway Select Series, Ultra-Reliable Wireless Backhaul (URWB) and Duo Access Gateway. Cisco advisory v1.6 (23 Oct 22:39 UTC) lists Expressway fixed release 15.5.21 with availability TBD, URWB 27.1.1 targeted Feb 2027 and requiring administrator authentication for exploitation, and Duo Access Gateway fixed release 3.2.0. Cisco documents product-specific workarounds for Expressway and URWB via its bug links. Do not assume listed fixed release is already deployed or available. For Palo Alto or any appliance, use the LIVE product advisory and administrative reachability restrictions. Require owner, exact build, fixed release availability, workaround and evidence. [S13, S21]</w:t>
      </w:r>
    </w:p>
    <w:p>
      <w:pPr>
        <w:pStyle w:val="Heading1"/>
      </w:pPr>
      <w:r>
        <w:t>4. Classify risk and establish remediation order</w:t>
      </w:r>
    </w:p>
    <w:p>
      <w:r>
        <w:t>Use operational priority classes below, not as a substitute for CVSS. Record internet exposure, SAPI, PHP branch and vendor build, exploit prerequisites, application function, secrets/data access, service privilege, tenant reach, and ability to isolate. Laboratory exploit proof raises plausibility for matching configurations but is not proof of malicious execution on a customer system. URWB has different prerequisites from unauthenticated mod_php; apply product-specific severity and access conditions. [S20-S21]</w:t>
      </w:r>
    </w:p>
    <w:tbl>
      <w:tblPr>
        <w:tblW w:type="auto" w:w="0"/>
        <w:jc w:val="center"/>
        <w:tblLayout w:type="fixed"/>
        <w:tblLook w:firstColumn="1" w:firstRow="1" w:lastColumn="0" w:lastRow="0" w:noHBand="0" w:noVBand="1" w:val="04A0"/>
      </w:tblPr>
      <w:tblGrid>
        <w:gridCol w:w="1195"/>
        <w:gridCol w:w="5328"/>
        <w:gridCol w:w="3341"/>
      </w:tblGrid>
      <w:tr>
        <w:trPr>
          <w:tblHeader w:val="true"/>
          <w:tblHeader w:val="true"/>
        </w:trPr>
        <w:tc>
          <w:tcPr>
            <w:tcW w:type="dxa" w:w="3283"/>
            <w:shd w:fill="E7EFF2"/>
            <w:tcMar>
              <w:top w:w="110" w:type="dxa"/>
              <w:start w:w="105" w:type="dxa"/>
              <w:bottom w:w="110" w:type="dxa"/>
              <w:end w:w="105" w:type="dxa"/>
            </w:tcMar>
            <w:vAlign w:val="center"/>
          </w:tcPr>
          <w:p>
            <w:r>
              <w:rPr>
                <w:b/>
                <w:color w:val="173044"/>
                <w:sz w:val="16"/>
              </w:rPr>
              <w:t>Priority</w:t>
            </w:r>
          </w:p>
        </w:tc>
        <w:tc>
          <w:tcPr>
            <w:tcW w:type="dxa" w:w="3283"/>
            <w:shd w:fill="E7EFF2"/>
            <w:tcMar>
              <w:top w:w="110" w:type="dxa"/>
              <w:start w:w="105" w:type="dxa"/>
              <w:bottom w:w="110" w:type="dxa"/>
              <w:end w:w="105" w:type="dxa"/>
            </w:tcMar>
            <w:vAlign w:val="center"/>
          </w:tcPr>
          <w:p>
            <w:r>
              <w:rPr>
                <w:b/>
                <w:color w:val="173044"/>
                <w:sz w:val="16"/>
              </w:rPr>
              <w:t>Decision rule</w:t>
            </w:r>
          </w:p>
        </w:tc>
        <w:tc>
          <w:tcPr>
            <w:tcW w:type="dxa" w:w="3283"/>
            <w:shd w:fill="E7EFF2"/>
            <w:tcMar>
              <w:top w:w="110" w:type="dxa"/>
              <w:start w:w="105" w:type="dxa"/>
              <w:bottom w:w="110" w:type="dxa"/>
              <w:end w:w="105" w:type="dxa"/>
            </w:tcMar>
            <w:vAlign w:val="center"/>
          </w:tcPr>
          <w:p>
            <w:r>
              <w:rPr>
                <w:b/>
                <w:color w:val="173044"/>
                <w:sz w:val="16"/>
              </w:rPr>
              <w:t>Required action</w:t>
            </w:r>
          </w:p>
        </w:tc>
      </w:tr>
      <w:tr>
        <w:tc>
          <w:tcPr>
            <w:tcW w:type="dxa" w:w="1195"/>
            <w:tcMar>
              <w:top w:w="85" w:type="dxa"/>
              <w:start w:w="105" w:type="dxa"/>
              <w:bottom w:w="80" w:type="dxa"/>
              <w:end w:w="100" w:type="dxa"/>
            </w:tcMar>
            <w:vAlign w:val="center"/>
          </w:tcPr>
          <w:p>
            <w:pPr>
              <w:spacing w:after="0"/>
            </w:pPr>
            <w:r>
              <w:rPr>
                <w:sz w:val="16"/>
              </w:rPr>
              <w:t>P0</w:t>
            </w:r>
          </w:p>
        </w:tc>
        <w:tc>
          <w:tcPr>
            <w:tcW w:type="dxa" w:w="5328"/>
            <w:tcMar>
              <w:top w:w="85" w:type="dxa"/>
              <w:start w:w="105" w:type="dxa"/>
              <w:bottom w:w="80" w:type="dxa"/>
              <w:end w:w="100" w:type="dxa"/>
            </w:tcMar>
            <w:vAlign w:val="center"/>
          </w:tcPr>
          <w:p>
            <w:pPr>
              <w:spacing w:after="0"/>
            </w:pPr>
            <w:r>
              <w:rPr>
                <w:sz w:val="16"/>
              </w:rPr>
              <w:t>Unpatched internet-facing web-serving PHP; especially Apache mod_php or high-impact shared infrastructure.</w:t>
            </w:r>
          </w:p>
        </w:tc>
        <w:tc>
          <w:tcPr>
            <w:tcW w:type="dxa" w:w="3341"/>
            <w:tcMar>
              <w:top w:w="85" w:type="dxa"/>
              <w:start w:w="105" w:type="dxa"/>
              <w:bottom w:w="80" w:type="dxa"/>
              <w:end w:w="100" w:type="dxa"/>
            </w:tcMar>
            <w:vAlign w:val="center"/>
          </w:tcPr>
          <w:p>
            <w:pPr>
              <w:spacing w:after="0"/>
            </w:pPr>
            <w:r>
              <w:rPr>
                <w:sz w:val="16"/>
              </w:rPr>
              <w:t>Patch or isolate immediately under emergency change authority. Initiate focused hunt.</w:t>
            </w:r>
          </w:p>
        </w:tc>
      </w:tr>
      <w:tr>
        <w:tc>
          <w:tcPr>
            <w:tcW w:type="dxa" w:w="1195"/>
            <w:tcMar>
              <w:top w:w="85" w:type="dxa"/>
              <w:start w:w="105" w:type="dxa"/>
              <w:bottom w:w="80" w:type="dxa"/>
              <w:end w:w="100" w:type="dxa"/>
            </w:tcMar>
            <w:vAlign w:val="center"/>
          </w:tcPr>
          <w:p>
            <w:pPr>
              <w:spacing w:after="0"/>
            </w:pPr>
            <w:r>
              <w:rPr>
                <w:sz w:val="16"/>
              </w:rPr>
              <w:t>P1</w:t>
            </w:r>
          </w:p>
        </w:tc>
        <w:tc>
          <w:tcPr>
            <w:tcW w:type="dxa" w:w="5328"/>
            <w:tcMar>
              <w:top w:w="85" w:type="dxa"/>
              <w:start w:w="105" w:type="dxa"/>
              <w:bottom w:w="80" w:type="dxa"/>
              <w:end w:w="100" w:type="dxa"/>
            </w:tcMar>
            <w:vAlign w:val="center"/>
          </w:tcPr>
          <w:p>
            <w:pPr>
              <w:spacing w:after="0"/>
            </w:pPr>
            <w:r>
              <w:rPr>
                <w:sz w:val="16"/>
              </w:rPr>
              <w:t>Unpatched web-serving PHP behind VPN, partner connectivity, broad internal access or high-value data.</w:t>
            </w:r>
          </w:p>
        </w:tc>
        <w:tc>
          <w:tcPr>
            <w:tcW w:type="dxa" w:w="3341"/>
            <w:tcMar>
              <w:top w:w="85" w:type="dxa"/>
              <w:start w:w="105" w:type="dxa"/>
              <w:bottom w:w="80" w:type="dxa"/>
              <w:end w:w="100" w:type="dxa"/>
            </w:tcMar>
            <w:vAlign w:val="center"/>
          </w:tcPr>
          <w:p>
            <w:pPr>
              <w:spacing w:after="0"/>
            </w:pPr>
            <w:r>
              <w:rPr>
                <w:sz w:val="16"/>
              </w:rPr>
              <w:t>Expedited change; reduce reachability and inspect logs.</w:t>
            </w:r>
          </w:p>
        </w:tc>
      </w:tr>
      <w:tr>
        <w:tc>
          <w:tcPr>
            <w:tcW w:type="dxa" w:w="1195"/>
            <w:tcMar>
              <w:top w:w="85" w:type="dxa"/>
              <w:start w:w="105" w:type="dxa"/>
              <w:bottom w:w="80" w:type="dxa"/>
              <w:end w:w="100" w:type="dxa"/>
            </w:tcMar>
            <w:vAlign w:val="center"/>
          </w:tcPr>
          <w:p>
            <w:pPr>
              <w:spacing w:after="0"/>
            </w:pPr>
            <w:r>
              <w:rPr>
                <w:sz w:val="16"/>
              </w:rPr>
              <w:t>P2</w:t>
            </w:r>
          </w:p>
        </w:tc>
        <w:tc>
          <w:tcPr>
            <w:tcW w:type="dxa" w:w="5328"/>
            <w:tcMar>
              <w:top w:w="85" w:type="dxa"/>
              <w:start w:w="105" w:type="dxa"/>
              <w:bottom w:w="80" w:type="dxa"/>
              <w:end w:w="100" w:type="dxa"/>
            </w:tcMar>
            <w:vAlign w:val="center"/>
          </w:tcPr>
          <w:p>
            <w:pPr>
              <w:spacing w:after="0"/>
            </w:pPr>
            <w:r>
              <w:rPr>
                <w:sz w:val="16"/>
              </w:rPr>
              <w:t>Restricted internal web service or non-production runtime with credible untrusted request path.</w:t>
            </w:r>
          </w:p>
        </w:tc>
        <w:tc>
          <w:tcPr>
            <w:tcW w:type="dxa" w:w="3341"/>
            <w:tcMar>
              <w:top w:w="85" w:type="dxa"/>
              <w:start w:w="105" w:type="dxa"/>
              <w:bottom w:w="80" w:type="dxa"/>
              <w:end w:w="100" w:type="dxa"/>
            </w:tcMar>
            <w:vAlign w:val="center"/>
          </w:tcPr>
          <w:p>
            <w:pPr>
              <w:spacing w:after="0"/>
            </w:pPr>
            <w:r>
              <w:rPr>
                <w:sz w:val="16"/>
              </w:rPr>
              <w:t>Schedule urgent patch and verify access boundary.</w:t>
            </w:r>
          </w:p>
        </w:tc>
      </w:tr>
      <w:tr>
        <w:tc>
          <w:tcPr>
            <w:tcW w:type="dxa" w:w="1195"/>
            <w:tcMar>
              <w:top w:w="85" w:type="dxa"/>
              <w:start w:w="105" w:type="dxa"/>
              <w:bottom w:w="80" w:type="dxa"/>
              <w:end w:w="100" w:type="dxa"/>
            </w:tcMar>
            <w:vAlign w:val="center"/>
          </w:tcPr>
          <w:p>
            <w:pPr>
              <w:spacing w:after="0"/>
            </w:pPr>
            <w:r>
              <w:rPr>
                <w:sz w:val="16"/>
              </w:rPr>
              <w:t>P3</w:t>
            </w:r>
          </w:p>
        </w:tc>
        <w:tc>
          <w:tcPr>
            <w:tcW w:type="dxa" w:w="5328"/>
            <w:tcMar>
              <w:top w:w="85" w:type="dxa"/>
              <w:start w:w="105" w:type="dxa"/>
              <w:bottom w:w="80" w:type="dxa"/>
              <w:end w:w="100" w:type="dxa"/>
            </w:tcMar>
            <w:vAlign w:val="center"/>
          </w:tcPr>
          <w:p>
            <w:pPr>
              <w:spacing w:after="0"/>
            </w:pPr>
            <w:r>
              <w:rPr>
                <w:sz w:val="16"/>
              </w:rPr>
              <w:t>CLI-only PHP used for known local tasks with no web-serving SAPI or untrusted input path.</w:t>
            </w:r>
          </w:p>
        </w:tc>
        <w:tc>
          <w:tcPr>
            <w:tcW w:type="dxa" w:w="3341"/>
            <w:tcMar>
              <w:top w:w="85" w:type="dxa"/>
              <w:start w:w="105" w:type="dxa"/>
              <w:bottom w:w="80" w:type="dxa"/>
              <w:end w:w="100" w:type="dxa"/>
            </w:tcMar>
            <w:vAlign w:val="center"/>
          </w:tcPr>
          <w:p>
            <w:pPr>
              <w:spacing w:after="0"/>
            </w:pPr>
            <w:r>
              <w:rPr>
                <w:sz w:val="16"/>
              </w:rPr>
              <w:t>Patch under expedited process; assess execution context.</w:t>
            </w:r>
          </w:p>
        </w:tc>
      </w:tr>
      <w:tr>
        <w:tc>
          <w:tcPr>
            <w:tcW w:type="dxa" w:w="1195"/>
            <w:tcMar>
              <w:top w:w="85" w:type="dxa"/>
              <w:start w:w="105" w:type="dxa"/>
              <w:bottom w:w="80" w:type="dxa"/>
              <w:end w:w="100" w:type="dxa"/>
            </w:tcMar>
            <w:vAlign w:val="center"/>
          </w:tcPr>
          <w:p>
            <w:pPr>
              <w:spacing w:after="0"/>
            </w:pPr>
            <w:r>
              <w:rPr>
                <w:sz w:val="16"/>
              </w:rPr>
              <w:t>UNKNOWN</w:t>
            </w:r>
          </w:p>
        </w:tc>
        <w:tc>
          <w:tcPr>
            <w:tcW w:type="dxa" w:w="5328"/>
            <w:tcMar>
              <w:top w:w="85" w:type="dxa"/>
              <w:start w:w="105" w:type="dxa"/>
              <w:bottom w:w="80" w:type="dxa"/>
              <w:end w:w="100" w:type="dxa"/>
            </w:tcMar>
            <w:vAlign w:val="center"/>
          </w:tcPr>
          <w:p>
            <w:pPr>
              <w:spacing w:after="0"/>
            </w:pPr>
            <w:r>
              <w:rPr>
                <w:sz w:val="16"/>
              </w:rPr>
              <w:t>Version, actual runtime, scope or vendor patch status cannot be established.</w:t>
            </w:r>
          </w:p>
        </w:tc>
        <w:tc>
          <w:tcPr>
            <w:tcW w:type="dxa" w:w="3341"/>
            <w:tcMar>
              <w:top w:w="85" w:type="dxa"/>
              <w:start w:w="105" w:type="dxa"/>
              <w:bottom w:w="80" w:type="dxa"/>
              <w:end w:w="100" w:type="dxa"/>
            </w:tcMar>
            <w:vAlign w:val="center"/>
          </w:tcPr>
          <w:p>
            <w:pPr>
              <w:spacing w:after="0"/>
            </w:pPr>
            <w:r>
              <w:rPr>
                <w:sz w:val="16"/>
              </w:rPr>
              <w:t>Keep open, assign owner and deadline; do not label unaffected.</w:t>
            </w:r>
          </w:p>
        </w:tc>
      </w:tr>
    </w:tbl>
    <w:p>
      <w:pPr>
        <w:spacing w:after="0"/>
      </w:pPr>
    </w:p>
    <w:p>
      <w:r>
        <w:t>Highest confidence is not always highest priority. An exposed app with uncertain software inventory is an urgent discovery problem. Risk can rise further if the web worker accesses customer databases, API secrets, network shares, backup systems or adjacent tenants.</w:t>
      </w:r>
    </w:p>
    <w:p>
      <w:pPr/>
      <w:r>
        <w:t>Evidence status labels for investigations: (A) scanning/no verified exploit request; (B) suspected exploit attempt; (C) blocked or failed attempt; (D) laboratory proof-of-concept only; (E) confirmed remote execution on the specific asset; (F) confirmed persistence, exfiltration or lateral activity. Associate time, source and corroboration. Do not promote a signature match, C2 indicator or lab PoC to category E or F. [S17-S18, S20]</w:t>
      </w:r>
    </w:p>
    <w:p>
      <w:pPr>
        <w:pStyle w:val="Heading1"/>
      </w:pPr>
      <w:r>
        <w:t>5. Remediate safely</w:t>
      </w:r>
    </w:p>
    <w:p>
      <w:pPr>
        <w:pStyle w:val="Heading2"/>
      </w:pPr>
      <w:r>
        <w:t>5.1 Patch selection and provenance</w:t>
      </w:r>
    </w:p>
    <w:p>
      <w:pPr>
        <w:spacing w:after="60"/>
        <w:ind w:left="288" w:hanging="259"/>
      </w:pPr>
      <w:r>
        <w:t>1.  Obtain packages from the official PHP project, OS distribution or supported product vendor. Avoid unauthenticated third-party mirrors and unreviewed public fixes.</w:t>
      </w:r>
    </w:p>
    <w:p>
      <w:pPr>
        <w:spacing w:after="60"/>
        <w:ind w:left="288" w:hanging="259"/>
      </w:pPr>
      <w:r>
        <w:t>2.  For upstream PHP2Shell fixes, use PHP 8.2.35, 8.3.36, 8.4.27 or 8.5.12 on the corresponding supported branch. For older branches, verify a vendor-supplied backport for BOTH CVEs or upgrade to a supported branch. The separately disclosed CVE-2026-115560 is NOT documented as fixed by these 21 October releases. [S1, S19, S23]</w:t>
      </w:r>
    </w:p>
    <w:p>
      <w:pPr>
        <w:spacing w:after="60"/>
        <w:ind w:left="288" w:hanging="259"/>
      </w:pPr>
      <w:r>
        <w:t>3.  Confirm application prerequisites: extensions, TS/NTS builds on Windows, PHP-FPM pool settings, opcache, INI hierarchy, web-server modules, runtime image base, application tests and rollback package.</w:t>
      </w:r>
    </w:p>
    <w:p>
      <w:pPr>
        <w:spacing w:after="60"/>
        <w:ind w:left="288" w:hanging="259"/>
      </w:pPr>
      <w:r>
        <w:t>4.  Take backups or snapshots according to the customer change policy. Preserve important evidence before rebooting if compromise is suspected.</w:t>
      </w:r>
    </w:p>
    <w:p>
      <w:pPr>
        <w:spacing w:after="60"/>
        <w:ind w:left="288" w:hanging="259"/>
      </w:pPr>
      <w:r>
        <w:t>5.  Apply patch with approved change tooling; restart or replace ALL affected workers/containers; validate actual web-serving runtime and functionality.</w:t>
      </w:r>
    </w:p>
    <w:p>
      <w:pPr>
        <w:spacing w:after="60"/>
        <w:ind w:left="288" w:hanging="259"/>
      </w:pPr>
      <w:r>
        <w:t>6.  Record installed package ID or file build, worker restart time, functional-test output and a second-party verification result.</w:t>
      </w:r>
    </w:p>
    <w:p>
      <w:pPr/>
      <w:r>
        <w:t>CLOUDLINUX REPOSITORY CORRECTION: CloudLinux status update of 23 October 21:36 UTC supersedes an earlier disable instruction. If you added the ELS ALT PHP (php-els) repository, KEEP IT ENABLED. Check cloudlinux-release currency, the cl-ea4 repository on cPanel, and regular package updates when yum/dnf returns "Nothing to do". The status page and applicable support article must be consulted together; follow the latest status correction. [S19]</w:t>
      </w:r>
    </w:p>
    <w:p>
      <w:pPr/>
      <w:r>
        <w:t>CLOUDLINUX 23 OCT FIX STATUS: CloudLinux reports all supported alt-php and ea-php fixed packages in stable, including version-aligned alt-php82/83/84/85 8.2.35-1 / 8.3.36-1 / 8.4.27-1 / 8.5.12-1 and ea-php82/83/84/85 with the same upstream-aligned version numbers. An earlier CVE-backported package may already be protected. Use installed package release and vendor changelog/rebase evidence, not php -v or security-only update filters alone. CloudLinux reports native fixed builds in stable for all its affected streams as of 22 October 19:50 UTC. [S19]</w:t>
      </w:r>
    </w:p>
    <w:p>
      <w:pPr>
        <w:pStyle w:val="Heading2"/>
      </w:pPr>
      <w:r>
        <w:t>5.2 Interim measures when patching is blocked</w:t>
      </w:r>
    </w:p>
    <w:p>
      <w:r>
        <w:t>No generic configuration mitigation completely repairs PHP2Shell. Isolation or tightly restricted network access is preferable when a fixed package is unavailable. Cloudflare states managed WAF protections were enabled by default on 21 October and describes request-plus-response inspection; Imunify360 published rules targeting known upload-progress exploit patterns. Validate enabled rules, origin-bypass risk, observed matches and application impact. WAF blocks are not confirmation of successful customer compromise. [S1, S6, S11]</w:t>
      </w:r>
    </w:p>
    <w:p>
      <w:r>
        <w:t>PHP temporary controls target specific paths and can affect application availability. The PHP project recommends session.upload_progress.enabled=0 applied before request parsing, with every worker restarted; do not rely on request-time ini_set() or FPM .user.ini. On 23 October it separately advised keeping this disabled until the next regular bugfix release for CVE-2026-115560 under unusual session-serializer switching conditions; this is NOT a third PHP2Shell CVE. Other partial measures include controlled memory_limit=-1, request-size constraints and PHP 8.5 fatal_error_backtraces=0. None substitute for PHP2Shell patching. [S1-S3, S23]</w:t>
      </w:r>
    </w:p>
    <w:p>
      <w:r>
        <w:t>Exception owner must approve affected application, business impact, interim control, test result, evidence, expiration date, escalation trigger and planned permanent remediation. Label such systems TEMPORARILY MITIGATED, never PATCHED.</w:t>
      </w:r>
    </w:p>
    <w:p>
      <w:pPr>
        <w:pStyle w:val="Heading1"/>
      </w:pPr>
      <w:r>
        <w:t>6. Verify the actual serving runtime and restore service</w:t>
      </w:r>
    </w:p>
    <w:p>
      <w:pPr>
        <w:pStyle w:val="Heading2"/>
      </w:pPr>
      <w:r>
        <w:t>6.1 Mandatory verification sequence</w:t>
      </w:r>
    </w:p>
    <w:p>
      <w:pPr>
        <w:spacing w:after="60"/>
        <w:ind w:left="288" w:hanging="259"/>
      </w:pPr>
      <w:r>
        <w:t>1.  Identify exact installed package/binary path, repository and vendor release. Verify a fix for BOTH CVE-2026-109618 and CVE-2026-109619. CloudLinux ea-php and alt-php may have a backport at an older apparent PHP version; consult the exact RPM changelog. For rebase builds that omit the CVE ID in the changelog, compare the vendor-documented fixed package release/branch. Older Plesk backports can retain a version number but differ by build date. Confirm the LATEST CloudLinux ELS repo correction, cloudlinux-release and cl-ea4 state. [S4-S5, S19]</w:t>
      </w:r>
    </w:p>
    <w:p>
      <w:pPr>
        <w:spacing w:after="60"/>
        <w:ind w:left="288" w:hanging="259"/>
      </w:pPr>
      <w:r>
        <w:t>2.  Map the application request handler to its PHP binary, module, pool or container. Checking “php -v” alone is not enough.</w:t>
      </w:r>
    </w:p>
    <w:p>
      <w:pPr>
        <w:spacing w:after="60"/>
        <w:ind w:left="288" w:hanging="259"/>
      </w:pPr>
      <w:r>
        <w:t>3.  Confirm every old PHP worker/process was stopped or replaced. Check old container replicas, scheduled app pools, long-lived FPM workers and stale module loads.</w:t>
      </w:r>
    </w:p>
    <w:p>
      <w:pPr>
        <w:spacing w:after="60"/>
        <w:ind w:left="288" w:hanging="259"/>
      </w:pPr>
      <w:r>
        <w:t>4.  Confirm approved PHP INI and extensions load, and test critical application routes. Check login, data access, uploads, APIs, scheduled jobs and error logs as applicable.</w:t>
      </w:r>
    </w:p>
    <w:p>
      <w:pPr>
        <w:spacing w:after="60"/>
        <w:ind w:left="288" w:hanging="259"/>
      </w:pPr>
      <w:r>
        <w:t>5.  Verify access restrictions/WAF remain enabled and no emergency rule broadens access unexpectedly.</w:t>
      </w:r>
    </w:p>
    <w:p>
      <w:pPr>
        <w:spacing w:after="60"/>
        <w:ind w:left="288" w:hanging="259"/>
      </w:pPr>
      <w:r>
        <w:t>6.  Collect independent review evidence. A successful package install without a serving-runtime check is PATCHED - UNVERIFIED.</w:t>
      </w:r>
    </w:p>
    <w:p>
      <w:pPr/>
      <w:r>
        <w:t>7.  Record whether the temporary mitigation session.upload_progress.enabled=0 is enforced at the correct configuration layer, and verify actual worker effective settings if mitigation is still needed for CVE-2026-115560. Keep separate patch compliance for the two PHP2Shell CVEs and follow the later PHP advisory for the distinct issue. [S23]</w:t>
      </w:r>
    </w:p>
    <w:p>
      <w:pPr>
        <w:pStyle w:val="Heading2"/>
      </w:pPr>
      <w:r>
        <w:t>6.2 Evidence bundle</w:t>
      </w:r>
    </w:p>
    <w:tbl>
      <w:tblPr>
        <w:tblW w:type="auto" w:w="0"/>
        <w:jc w:val="center"/>
        <w:tblLayout w:type="fixed"/>
        <w:tblLook w:firstColumn="1" w:firstRow="1" w:lastColumn="0" w:lastRow="0" w:noHBand="0" w:noVBand="1" w:val="04A0"/>
      </w:tblPr>
      <w:tblGrid>
        <w:gridCol w:w="3211"/>
        <w:gridCol w:w="3312"/>
        <w:gridCol w:w="3341"/>
      </w:tblGrid>
      <w:tr>
        <w:trPr>
          <w:tblHeader w:val="true"/>
          <w:tblHeader w:val="true"/>
        </w:trPr>
        <w:tc>
          <w:tcPr>
            <w:tcW w:type="dxa" w:w="3283"/>
            <w:shd w:fill="E7EFF2"/>
            <w:tcMar>
              <w:top w:w="110" w:type="dxa"/>
              <w:start w:w="105" w:type="dxa"/>
              <w:bottom w:w="110" w:type="dxa"/>
              <w:end w:w="105" w:type="dxa"/>
            </w:tcMar>
            <w:vAlign w:val="center"/>
          </w:tcPr>
          <w:p>
            <w:r>
              <w:rPr>
                <w:b/>
                <w:color w:val="173044"/>
                <w:sz w:val="16"/>
              </w:rPr>
              <w:t>Before</w:t>
            </w:r>
          </w:p>
        </w:tc>
        <w:tc>
          <w:tcPr>
            <w:tcW w:type="dxa" w:w="3283"/>
            <w:shd w:fill="E7EFF2"/>
            <w:tcMar>
              <w:top w:w="110" w:type="dxa"/>
              <w:start w:w="105" w:type="dxa"/>
              <w:bottom w:w="110" w:type="dxa"/>
              <w:end w:w="105" w:type="dxa"/>
            </w:tcMar>
            <w:vAlign w:val="center"/>
          </w:tcPr>
          <w:p>
            <w:r>
              <w:rPr>
                <w:b/>
                <w:color w:val="173044"/>
                <w:sz w:val="16"/>
              </w:rPr>
              <w:t>After</w:t>
            </w:r>
          </w:p>
        </w:tc>
        <w:tc>
          <w:tcPr>
            <w:tcW w:type="dxa" w:w="3283"/>
            <w:shd w:fill="E7EFF2"/>
            <w:tcMar>
              <w:top w:w="110" w:type="dxa"/>
              <w:start w:w="105" w:type="dxa"/>
              <w:bottom w:w="110" w:type="dxa"/>
              <w:end w:w="105" w:type="dxa"/>
            </w:tcMar>
            <w:vAlign w:val="center"/>
          </w:tcPr>
          <w:p>
            <w:r>
              <w:rPr>
                <w:b/>
                <w:color w:val="173044"/>
                <w:sz w:val="16"/>
              </w:rPr>
              <w:t>Security / business disposition</w:t>
            </w:r>
          </w:p>
        </w:tc>
      </w:tr>
      <w:tr>
        <w:tc>
          <w:tcPr>
            <w:tcW w:type="dxa" w:w="3211"/>
            <w:tcMar>
              <w:top w:w="85" w:type="dxa"/>
              <w:start w:w="105" w:type="dxa"/>
              <w:bottom w:w="80" w:type="dxa"/>
              <w:end w:w="100" w:type="dxa"/>
            </w:tcMar>
            <w:vAlign w:val="center"/>
          </w:tcPr>
          <w:p>
            <w:pPr>
              <w:spacing w:after="0"/>
            </w:pPr>
            <w:r>
              <w:rPr>
                <w:sz w:val="16"/>
              </w:rPr>
              <w:t>Host, runtime, version, SAPI, exposure and timestamp.</w:t>
            </w:r>
          </w:p>
        </w:tc>
        <w:tc>
          <w:tcPr>
            <w:tcW w:type="dxa" w:w="3312"/>
            <w:tcMar>
              <w:top w:w="85" w:type="dxa"/>
              <w:start w:w="105" w:type="dxa"/>
              <w:bottom w:w="80" w:type="dxa"/>
              <w:end w:w="100" w:type="dxa"/>
            </w:tcMar>
            <w:vAlign w:val="center"/>
          </w:tcPr>
          <w:p>
            <w:pPr>
              <w:spacing w:after="0"/>
            </w:pPr>
            <w:r>
              <w:rPr>
                <w:sz w:val="16"/>
              </w:rPr>
              <w:t>Patched package or version; active worker/image proof; restart timestamp.</w:t>
            </w:r>
          </w:p>
        </w:tc>
        <w:tc>
          <w:tcPr>
            <w:tcW w:type="dxa" w:w="3341"/>
            <w:tcMar>
              <w:top w:w="85" w:type="dxa"/>
              <w:start w:w="105" w:type="dxa"/>
              <w:bottom w:w="80" w:type="dxa"/>
              <w:end w:w="100" w:type="dxa"/>
            </w:tcMar>
            <w:vAlign w:val="center"/>
          </w:tcPr>
          <w:p>
            <w:pPr>
              <w:spacing w:after="0"/>
            </w:pPr>
            <w:r>
              <w:rPr>
                <w:sz w:val="16"/>
              </w:rPr>
              <w:t>Compromise hunt scope and outcome.</w:t>
            </w:r>
          </w:p>
        </w:tc>
      </w:tr>
      <w:tr>
        <w:tc>
          <w:tcPr>
            <w:tcW w:type="dxa" w:w="3211"/>
            <w:tcMar>
              <w:top w:w="85" w:type="dxa"/>
              <w:start w:w="105" w:type="dxa"/>
              <w:bottom w:w="80" w:type="dxa"/>
              <w:end w:w="100" w:type="dxa"/>
            </w:tcMar>
            <w:vAlign w:val="center"/>
          </w:tcPr>
          <w:p>
            <w:pPr>
              <w:spacing w:after="0"/>
            </w:pPr>
            <w:r>
              <w:rPr>
                <w:sz w:val="16"/>
              </w:rPr>
              <w:t>Change approval and backup/rollback method.</w:t>
            </w:r>
          </w:p>
        </w:tc>
        <w:tc>
          <w:tcPr>
            <w:tcW w:type="dxa" w:w="3312"/>
            <w:tcMar>
              <w:top w:w="85" w:type="dxa"/>
              <w:start w:w="105" w:type="dxa"/>
              <w:bottom w:w="80" w:type="dxa"/>
              <w:end w:w="100" w:type="dxa"/>
            </w:tcMar>
            <w:vAlign w:val="center"/>
          </w:tcPr>
          <w:p>
            <w:pPr>
              <w:spacing w:after="0"/>
            </w:pPr>
            <w:r>
              <w:rPr>
                <w:sz w:val="16"/>
              </w:rPr>
              <w:t>Application test outputs and observed availability.</w:t>
            </w:r>
          </w:p>
        </w:tc>
        <w:tc>
          <w:tcPr>
            <w:tcW w:type="dxa" w:w="3341"/>
            <w:tcMar>
              <w:top w:w="85" w:type="dxa"/>
              <w:start w:w="105" w:type="dxa"/>
              <w:bottom w:w="80" w:type="dxa"/>
              <w:end w:w="100" w:type="dxa"/>
            </w:tcMar>
            <w:vAlign w:val="center"/>
          </w:tcPr>
          <w:p>
            <w:pPr>
              <w:spacing w:after="0"/>
            </w:pPr>
            <w:r>
              <w:rPr>
                <w:sz w:val="16"/>
              </w:rPr>
              <w:t>Customer approval or exception and notice.</w:t>
            </w:r>
          </w:p>
        </w:tc>
      </w:tr>
      <w:tr>
        <w:tc>
          <w:tcPr>
            <w:tcW w:type="dxa" w:w="3211"/>
            <w:tcMar>
              <w:top w:w="85" w:type="dxa"/>
              <w:start w:w="105" w:type="dxa"/>
              <w:bottom w:w="80" w:type="dxa"/>
              <w:end w:w="100" w:type="dxa"/>
            </w:tcMar>
            <w:vAlign w:val="center"/>
          </w:tcPr>
          <w:p>
            <w:pPr>
              <w:spacing w:after="0"/>
            </w:pPr>
            <w:r>
              <w:rPr>
                <w:sz w:val="16"/>
              </w:rPr>
              <w:t>Provider advisory and package identification.</w:t>
            </w:r>
          </w:p>
        </w:tc>
        <w:tc>
          <w:tcPr>
            <w:tcW w:type="dxa" w:w="3312"/>
            <w:tcMar>
              <w:top w:w="85" w:type="dxa"/>
              <w:start w:w="105" w:type="dxa"/>
              <w:bottom w:w="80" w:type="dxa"/>
              <w:end w:w="100" w:type="dxa"/>
            </w:tcMar>
            <w:vAlign w:val="center"/>
          </w:tcPr>
          <w:p>
            <w:pPr>
              <w:spacing w:after="0"/>
            </w:pPr>
            <w:r>
              <w:rPr>
                <w:sz w:val="16"/>
              </w:rPr>
              <w:t>Reviewer identity and UTC verification time.</w:t>
            </w:r>
          </w:p>
        </w:tc>
        <w:tc>
          <w:tcPr>
            <w:tcW w:type="dxa" w:w="3341"/>
            <w:tcMar>
              <w:top w:w="85" w:type="dxa"/>
              <w:start w:w="105" w:type="dxa"/>
              <w:bottom w:w="80" w:type="dxa"/>
              <w:end w:w="100" w:type="dxa"/>
            </w:tcMar>
            <w:vAlign w:val="center"/>
          </w:tcPr>
          <w:p>
            <w:pPr>
              <w:spacing w:after="0"/>
            </w:pPr>
            <w:r>
              <w:rPr>
                <w:sz w:val="16"/>
              </w:rPr>
              <w:t>Residual risk, external dependencies and recheck due date.</w:t>
            </w:r>
          </w:p>
        </w:tc>
      </w:tr>
    </w:tbl>
    <w:p>
      <w:pPr>
        <w:spacing w:after="0"/>
      </w:pPr>
    </w:p>
    <w:p>
      <w:r>
        <w:t>Do not expose a public phpinfo() diagnostic page to establish versions. Prefer authorized admin configuration, server-side logs and temporary authenticated checks that are removed immediately afterward.</w:t>
      </w:r>
    </w:p>
    <w:p>
      <w:pPr>
        <w:pStyle w:val="Heading1"/>
      </w:pPr>
      <w:r>
        <w:t>7. Check for attempted or successful exploitation</w:t>
      </w:r>
    </w:p>
    <w:p>
      <w:r>
        <w:t>The hunt track remains separate from patch verification. AWS reported attempted exploitation against its MadPot honeypots from 17 October, not a proved production compromise. Sophos retracted an October 22 claim of successful exploitation after reanalysis of failed/blocked attempts; Arctic Wolf observed payload delivery attempts but no verified payload execution. VulnCheck reports working laboratory exploits in specified mod_php environments. None of these observations justify saying all attempted attacks failed everywhere. Preserve volatile evidence before restart when compromise is credibly suspected. [S12, S17-S18, S20]</w:t>
      </w:r>
    </w:p>
    <w:p>
      <w:pPr>
        <w:pStyle w:val="Heading2"/>
      </w:pPr>
      <w:r>
        <w:t>7.1 Scope and timeline</w:t>
      </w:r>
    </w:p>
    <w:p>
      <w:r>
        <w:t>Start at 17 October 2026, or earlier if local anomalies or later intelligence warrant, for affected exposed hosts when telemetry permits. Record log coverage gaps, UTC timestamps, request visibility and evidence level. Separate (1) probing/failed requests, (2) blocked attempted malware delivery, (3) verified shell or code execution, and (4) verified persistence, data access or movement. Escalate any compelling local evidence; absence of a confirmed public victim report is NOT evidence a particular host is clean. [S12, S17-S18]</w:t>
      </w:r>
    </w:p>
    <w:p>
      <w:pPr>
        <w:pStyle w:val="Heading2"/>
      </w:pPr>
      <w:r>
        <w:t>7.2 Hunt checklist</w:t>
      </w:r>
    </w:p>
    <w:tbl>
      <w:tblPr>
        <w:tblW w:type="auto" w:w="0"/>
        <w:jc w:val="center"/>
        <w:tblLayout w:type="fixed"/>
        <w:tblLook w:firstColumn="1" w:firstRow="1" w:lastColumn="0" w:lastRow="0" w:noHBand="0" w:noVBand="1" w:val="04A0"/>
      </w:tblPr>
      <w:tblGrid>
        <w:gridCol w:w="2232"/>
        <w:gridCol w:w="4680"/>
        <w:gridCol w:w="2952"/>
      </w:tblGrid>
      <w:tr>
        <w:trPr>
          <w:tblHeader w:val="true"/>
          <w:tblHeader w:val="true"/>
        </w:trPr>
        <w:tc>
          <w:tcPr>
            <w:tcW w:type="dxa" w:w="3283"/>
            <w:shd w:fill="E7EFF2"/>
            <w:tcMar>
              <w:top w:w="110" w:type="dxa"/>
              <w:start w:w="105" w:type="dxa"/>
              <w:bottom w:w="110" w:type="dxa"/>
              <w:end w:w="105" w:type="dxa"/>
            </w:tcMar>
            <w:vAlign w:val="center"/>
          </w:tcPr>
          <w:p>
            <w:r>
              <w:rPr>
                <w:b/>
                <w:color w:val="173044"/>
                <w:sz w:val="16"/>
              </w:rPr>
              <w:t>Telemetry</w:t>
            </w:r>
          </w:p>
        </w:tc>
        <w:tc>
          <w:tcPr>
            <w:tcW w:type="dxa" w:w="3283"/>
            <w:shd w:fill="E7EFF2"/>
            <w:tcMar>
              <w:top w:w="110" w:type="dxa"/>
              <w:start w:w="105" w:type="dxa"/>
              <w:bottom w:w="110" w:type="dxa"/>
              <w:end w:w="105" w:type="dxa"/>
            </w:tcMar>
            <w:vAlign w:val="center"/>
          </w:tcPr>
          <w:p>
            <w:r>
              <w:rPr>
                <w:b/>
                <w:color w:val="173044"/>
                <w:sz w:val="16"/>
              </w:rPr>
              <w:t>Investigation hypothesis</w:t>
            </w:r>
          </w:p>
        </w:tc>
        <w:tc>
          <w:tcPr>
            <w:tcW w:type="dxa" w:w="3283"/>
            <w:shd w:fill="E7EFF2"/>
            <w:tcMar>
              <w:top w:w="110" w:type="dxa"/>
              <w:start w:w="105" w:type="dxa"/>
              <w:bottom w:w="110" w:type="dxa"/>
              <w:end w:w="105" w:type="dxa"/>
            </w:tcMar>
            <w:vAlign w:val="center"/>
          </w:tcPr>
          <w:p>
            <w:r>
              <w:rPr>
                <w:b/>
                <w:color w:val="173044"/>
                <w:sz w:val="16"/>
              </w:rPr>
              <w:t>Caution</w:t>
            </w:r>
          </w:p>
        </w:tc>
      </w:tr>
      <w:tr>
        <w:tc>
          <w:tcPr>
            <w:tcW w:type="dxa" w:w="2232"/>
            <w:tcMar>
              <w:top w:w="85" w:type="dxa"/>
              <w:start w:w="105" w:type="dxa"/>
              <w:bottom w:w="80" w:type="dxa"/>
              <w:end w:w="100" w:type="dxa"/>
            </w:tcMar>
            <w:vAlign w:val="center"/>
          </w:tcPr>
          <w:p>
            <w:pPr>
              <w:spacing w:after="0"/>
            </w:pPr>
            <w:r>
              <w:rPr>
                <w:sz w:val="16"/>
              </w:rPr>
              <w:t>Web/reverse proxy logs</w:t>
            </w:r>
          </w:p>
        </w:tc>
        <w:tc>
          <w:tcPr>
            <w:tcW w:type="dxa" w:w="4680"/>
            <w:tcMar>
              <w:top w:w="85" w:type="dxa"/>
              <w:start w:w="105" w:type="dxa"/>
              <w:bottom w:w="80" w:type="dxa"/>
              <w:end w:w="100" w:type="dxa"/>
            </w:tcMar>
            <w:vAlign w:val="center"/>
          </w:tcPr>
          <w:p>
            <w:pPr>
              <w:spacing w:after="0"/>
            </w:pPr>
            <w:r>
              <w:rPr>
                <w:sz w:val="16"/>
              </w:rPr>
              <w:t>Bursts of POST/multipart activity, excessive fields/parts, missing usable Content-Length, unusual errors.</w:t>
            </w:r>
          </w:p>
        </w:tc>
        <w:tc>
          <w:tcPr>
            <w:tcW w:type="dxa" w:w="2952"/>
            <w:tcMar>
              <w:top w:w="85" w:type="dxa"/>
              <w:start w:w="105" w:type="dxa"/>
              <w:bottom w:w="80" w:type="dxa"/>
              <w:end w:w="100" w:type="dxa"/>
            </w:tcMar>
            <w:vAlign w:val="center"/>
          </w:tcPr>
          <w:p>
            <w:pPr>
              <w:spacing w:after="0"/>
            </w:pPr>
            <w:r>
              <w:rPr>
                <w:sz w:val="16"/>
              </w:rPr>
              <w:t>Patterns may be benign; raw logs may omit critical request body detail.</w:t>
            </w:r>
          </w:p>
        </w:tc>
      </w:tr>
      <w:tr>
        <w:tc>
          <w:tcPr>
            <w:tcW w:type="dxa" w:w="2232"/>
            <w:tcMar>
              <w:top w:w="85" w:type="dxa"/>
              <w:start w:w="105" w:type="dxa"/>
              <w:bottom w:w="80" w:type="dxa"/>
              <w:end w:w="100" w:type="dxa"/>
            </w:tcMar>
            <w:vAlign w:val="center"/>
          </w:tcPr>
          <w:p>
            <w:pPr>
              <w:spacing w:after="0"/>
            </w:pPr>
            <w:r>
              <w:rPr>
                <w:sz w:val="16"/>
              </w:rPr>
              <w:t>PHP / web service logs</w:t>
            </w:r>
          </w:p>
        </w:tc>
        <w:tc>
          <w:tcPr>
            <w:tcW w:type="dxa" w:w="4680"/>
            <w:tcMar>
              <w:top w:w="85" w:type="dxa"/>
              <w:start w:w="105" w:type="dxa"/>
              <w:bottom w:w="80" w:type="dxa"/>
              <w:end w:w="100" w:type="dxa"/>
            </w:tcMar>
            <w:vAlign w:val="center"/>
          </w:tcPr>
          <w:p>
            <w:pPr>
              <w:spacing w:after="0"/>
            </w:pPr>
            <w:r>
              <w:rPr>
                <w:sz w:val="16"/>
              </w:rPr>
              <w:t>Out-of-memory fatals, crashes, worker churn, repeated early warnings or timeouts.</w:t>
            </w:r>
          </w:p>
        </w:tc>
        <w:tc>
          <w:tcPr>
            <w:tcW w:type="dxa" w:w="2952"/>
            <w:tcMar>
              <w:top w:w="85" w:type="dxa"/>
              <w:start w:w="105" w:type="dxa"/>
              <w:bottom w:w="80" w:type="dxa"/>
              <w:end w:w="100" w:type="dxa"/>
            </w:tcMar>
            <w:vAlign w:val="center"/>
          </w:tcPr>
          <w:p>
            <w:pPr>
              <w:spacing w:after="0"/>
            </w:pPr>
            <w:r>
              <w:rPr>
                <w:sz w:val="16"/>
              </w:rPr>
              <w:t>No error does not establish safety.</w:t>
            </w:r>
          </w:p>
        </w:tc>
      </w:tr>
      <w:tr>
        <w:tc>
          <w:tcPr>
            <w:tcW w:type="dxa" w:w="2232"/>
            <w:tcMar>
              <w:top w:w="85" w:type="dxa"/>
              <w:start w:w="105" w:type="dxa"/>
              <w:bottom w:w="80" w:type="dxa"/>
              <w:end w:w="100" w:type="dxa"/>
            </w:tcMar>
            <w:vAlign w:val="center"/>
          </w:tcPr>
          <w:p>
            <w:pPr>
              <w:spacing w:after="0"/>
            </w:pPr>
            <w:r>
              <w:rPr>
                <w:sz w:val="16"/>
              </w:rPr>
              <w:t>EDR / process telemetry</w:t>
            </w:r>
          </w:p>
        </w:tc>
        <w:tc>
          <w:tcPr>
            <w:tcW w:type="dxa" w:w="4680"/>
            <w:tcMar>
              <w:top w:w="85" w:type="dxa"/>
              <w:start w:w="105" w:type="dxa"/>
              <w:bottom w:w="80" w:type="dxa"/>
              <w:end w:w="100" w:type="dxa"/>
            </w:tcMar>
            <w:vAlign w:val="center"/>
          </w:tcPr>
          <w:p>
            <w:pPr>
              <w:spacing w:after="0"/>
            </w:pPr>
            <w:r>
              <w:rPr>
                <w:sz w:val="16"/>
              </w:rPr>
              <w:t>Web worker spawning shells/utilities; abnormal child processes.</w:t>
            </w:r>
          </w:p>
        </w:tc>
        <w:tc>
          <w:tcPr>
            <w:tcW w:type="dxa" w:w="2952"/>
            <w:tcMar>
              <w:top w:w="85" w:type="dxa"/>
              <w:start w:w="105" w:type="dxa"/>
              <w:bottom w:w="80" w:type="dxa"/>
              <w:end w:w="100" w:type="dxa"/>
            </w:tcMar>
            <w:vAlign w:val="center"/>
          </w:tcPr>
          <w:p>
            <w:pPr>
              <w:spacing w:after="0"/>
            </w:pPr>
            <w:r>
              <w:rPr>
                <w:sz w:val="16"/>
              </w:rPr>
              <w:t>Review application maintenance tasks before declaring compromise.</w:t>
            </w:r>
          </w:p>
        </w:tc>
      </w:tr>
      <w:tr>
        <w:tc>
          <w:tcPr>
            <w:tcW w:type="dxa" w:w="2232"/>
            <w:tcMar>
              <w:top w:w="85" w:type="dxa"/>
              <w:start w:w="105" w:type="dxa"/>
              <w:bottom w:w="80" w:type="dxa"/>
              <w:end w:w="100" w:type="dxa"/>
            </w:tcMar>
            <w:vAlign w:val="center"/>
          </w:tcPr>
          <w:p>
            <w:pPr>
              <w:spacing w:after="0"/>
            </w:pPr>
            <w:r>
              <w:rPr>
                <w:sz w:val="16"/>
              </w:rPr>
              <w:t>File/config changes</w:t>
            </w:r>
          </w:p>
        </w:tc>
        <w:tc>
          <w:tcPr>
            <w:tcW w:type="dxa" w:w="4680"/>
            <w:tcMar>
              <w:top w:w="85" w:type="dxa"/>
              <w:start w:w="105" w:type="dxa"/>
              <w:bottom w:w="80" w:type="dxa"/>
              <w:end w:w="100" w:type="dxa"/>
            </w:tcMar>
            <w:vAlign w:val="center"/>
          </w:tcPr>
          <w:p>
            <w:pPr>
              <w:spacing w:after="0"/>
            </w:pPr>
            <w:r>
              <w:rPr>
                <w:sz w:val="16"/>
              </w:rPr>
              <w:t>Unexpected PHP files, session artifacts, auto_prepend_file changes, persistence.</w:t>
            </w:r>
          </w:p>
        </w:tc>
        <w:tc>
          <w:tcPr>
            <w:tcW w:type="dxa" w:w="2952"/>
            <w:tcMar>
              <w:top w:w="85" w:type="dxa"/>
              <w:start w:w="105" w:type="dxa"/>
              <w:bottom w:w="80" w:type="dxa"/>
              <w:end w:w="100" w:type="dxa"/>
            </w:tcMar>
            <w:vAlign w:val="center"/>
          </w:tcPr>
          <w:p>
            <w:pPr>
              <w:spacing w:after="0"/>
            </w:pPr>
            <w:r>
              <w:rPr>
                <w:sz w:val="16"/>
              </w:rPr>
              <w:t>Compare with deployments; preserve hash and timestamp metadata.</w:t>
            </w:r>
          </w:p>
        </w:tc>
      </w:tr>
      <w:tr>
        <w:tc>
          <w:tcPr>
            <w:tcW w:type="dxa" w:w="2232"/>
            <w:tcMar>
              <w:top w:w="85" w:type="dxa"/>
              <w:start w:w="105" w:type="dxa"/>
              <w:bottom w:w="80" w:type="dxa"/>
              <w:end w:w="100" w:type="dxa"/>
            </w:tcMar>
            <w:vAlign w:val="center"/>
          </w:tcPr>
          <w:p>
            <w:pPr>
              <w:spacing w:after="0"/>
            </w:pPr>
            <w:r>
              <w:rPr>
                <w:sz w:val="16"/>
              </w:rPr>
              <w:t>Network / identity</w:t>
            </w:r>
          </w:p>
        </w:tc>
        <w:tc>
          <w:tcPr>
            <w:tcW w:type="dxa" w:w="4680"/>
            <w:tcMar>
              <w:top w:w="85" w:type="dxa"/>
              <w:start w:w="105" w:type="dxa"/>
              <w:bottom w:w="80" w:type="dxa"/>
              <w:end w:w="100" w:type="dxa"/>
            </w:tcMar>
            <w:vAlign w:val="center"/>
          </w:tcPr>
          <w:p>
            <w:pPr>
              <w:spacing w:after="0"/>
            </w:pPr>
            <w:r>
              <w:rPr>
                <w:sz w:val="16"/>
              </w:rPr>
              <w:t>Unusual egress, credential use, lateral access from worker identity.</w:t>
            </w:r>
          </w:p>
        </w:tc>
        <w:tc>
          <w:tcPr>
            <w:tcW w:type="dxa" w:w="2952"/>
            <w:tcMar>
              <w:top w:w="85" w:type="dxa"/>
              <w:start w:w="105" w:type="dxa"/>
              <w:bottom w:w="80" w:type="dxa"/>
              <w:end w:w="100" w:type="dxa"/>
            </w:tcMar>
            <w:vAlign w:val="center"/>
          </w:tcPr>
          <w:p>
            <w:pPr>
              <w:spacing w:after="0"/>
            </w:pPr>
            <w:r>
              <w:rPr>
                <w:sz w:val="16"/>
              </w:rPr>
              <w:t>Correlate with business workflow and account scope.</w:t>
            </w:r>
          </w:p>
        </w:tc>
      </w:tr>
      <w:tr>
        <w:tc>
          <w:tcPr>
            <w:tcW w:type="dxa" w:w="2232"/>
            <w:tcMar>
              <w:top w:w="85" w:type="dxa"/>
              <w:start w:w="105" w:type="dxa"/>
              <w:bottom w:w="80" w:type="dxa"/>
              <w:end w:w="100" w:type="dxa"/>
            </w:tcMar>
            <w:vAlign w:val="center"/>
          </w:tcPr>
          <w:p>
            <w:pPr>
              <w:spacing w:after="0"/>
            </w:pPr>
            <w:r>
              <w:rPr>
                <w:sz w:val="16"/>
              </w:rPr>
              <w:t>WAF / CDN</w:t>
            </w:r>
          </w:p>
        </w:tc>
        <w:tc>
          <w:tcPr>
            <w:tcW w:type="dxa" w:w="4680"/>
            <w:tcMar>
              <w:top w:w="85" w:type="dxa"/>
              <w:start w:w="105" w:type="dxa"/>
              <w:bottom w:w="80" w:type="dxa"/>
              <w:end w:w="100" w:type="dxa"/>
            </w:tcMar>
            <w:vAlign w:val="center"/>
          </w:tcPr>
          <w:p>
            <w:pPr>
              <w:spacing w:after="0"/>
            </w:pPr>
            <w:r>
              <w:rPr>
                <w:sz w:val="16"/>
              </w:rPr>
              <w:t>Matching php2shell protection rules, action, origin response and source context.</w:t>
            </w:r>
          </w:p>
        </w:tc>
        <w:tc>
          <w:tcPr>
            <w:tcW w:type="dxa" w:w="2952"/>
            <w:tcMar>
              <w:top w:w="85" w:type="dxa"/>
              <w:start w:w="105" w:type="dxa"/>
              <w:bottom w:w="80" w:type="dxa"/>
              <w:end w:w="100" w:type="dxa"/>
            </w:tcMar>
            <w:vAlign w:val="center"/>
          </w:tcPr>
          <w:p>
            <w:pPr>
              <w:spacing w:after="0"/>
            </w:pPr>
            <w:r>
              <w:rPr>
                <w:sz w:val="16"/>
              </w:rPr>
              <w:t>WAF detection is a lead, not a confirmed exploit.</w:t>
            </w:r>
          </w:p>
        </w:tc>
      </w:tr>
      <w:tr>
        <w:tc>
          <w:tcPr>
            <w:tcW w:type="dxa" w:w="2232"/>
            <w:vAlign w:val="center"/>
          </w:tcPr>
          <w:p>
            <w:r>
              <w:rPr>
                <w:sz w:val="18"/>
              </w:rPr>
              <w:t>AWS MadPot retrospective signal</w:t>
            </w:r>
          </w:p>
        </w:tc>
        <w:tc>
          <w:tcPr>
            <w:tcW w:type="dxa" w:w="4680"/>
            <w:vAlign w:val="center"/>
          </w:tcPr>
          <w:p>
            <w:r>
              <w:rPr>
                <w:sz w:val="18"/>
              </w:rPr>
              <w:t>Review 17 Oct onward for POST multipart forms containing PHP_SESSION_UPLOAD_PROGRESS; correlate sender, path, worker, response, EDR and time.</w:t>
            </w:r>
          </w:p>
        </w:tc>
        <w:tc>
          <w:tcPr>
            <w:tcW w:type="dxa" w:w="2952"/>
            <w:vAlign w:val="center"/>
          </w:tcPr>
          <w:p>
            <w:r>
              <w:rPr>
                <w:sz w:val="18"/>
              </w:rPr>
              <w:t>Body fields may not be logged. AWS IP indicators may be shared anonymization infrastructure; investigate context, do not treat an IP match as proof. [S12]</w:t>
            </w:r>
          </w:p>
        </w:tc>
      </w:tr>
      <w:tr>
        <w:tc>
          <w:tcPr>
            <w:tcW w:type="dxa" w:w="2232"/>
            <w:vAlign w:val="center"/>
          </w:tcPr>
          <w:p>
            <w:r>
              <w:t>Sophos attempted Potassium staging</w:t>
            </w:r>
          </w:p>
        </w:tc>
        <w:tc>
          <w:tcPr>
            <w:tcW w:type="dxa" w:w="4680"/>
            <w:vAlign w:val="center"/>
          </w:tcPr>
          <w:p>
            <w:r>
              <w:t>Correlate suspicious multipart POST activity with web-worker child processes, download commands, attempted /tmp staging, and associated IP/domain/hash indicators published by Sophos.</w:t>
            </w:r>
          </w:p>
        </w:tc>
        <w:tc>
          <w:tcPr>
            <w:tcW w:type="dxa" w:w="2952"/>
            <w:vAlign w:val="center"/>
          </w:tcPr>
          <w:p>
            <w:r>
              <w:t>Sophos withdrew its success claim. A network or hash match is context to investigate, not proof of malware execution. [S17]</w:t>
            </w:r>
          </w:p>
        </w:tc>
      </w:tr>
      <w:tr>
        <w:tc>
          <w:tcPr>
            <w:tcW w:type="dxa" w:w="2232"/>
            <w:vAlign w:val="center"/>
          </w:tcPr>
          <w:p>
            <w:r>
              <w:t>Arctic Wolf second-stage attempts</w:t>
            </w:r>
          </w:p>
        </w:tc>
        <w:tc>
          <w:tcPr>
            <w:tcW w:type="dxa" w:w="4680"/>
            <w:vAlign w:val="center"/>
          </w:tcPr>
          <w:p>
            <w:r>
              <w:t>Review padded upload fields and attempted fetches from 92.118.112[.]100 with independent process/file and network evidence.</w:t>
            </w:r>
          </w:p>
        </w:tc>
        <w:tc>
          <w:tcPr>
            <w:tcW w:type="dxa" w:w="2952"/>
            <w:vAlign w:val="center"/>
          </w:tcPr>
          <w:p>
            <w:r>
              <w:t>Payloads on hosting infrastructure do not prove that the targeted PHP host downloaded or executed them. [S18]</w:t>
            </w:r>
          </w:p>
        </w:tc>
      </w:tr>
      <w:tr>
        <w:tc>
          <w:tcPr>
            <w:tcW w:type="dxa" w:w="2232"/>
            <w:vAlign w:val="center"/>
          </w:tcPr>
          <w:p>
            <w:r>
              <w:t>Sophos managed detections</w:t>
            </w:r>
          </w:p>
        </w:tc>
        <w:tc>
          <w:tcPr>
            <w:tcW w:type="dxa" w:w="4680"/>
            <w:vAlign w:val="center"/>
          </w:tcPr>
          <w:p>
            <w:r>
              <w:t>Check deployed IPS 213184, 213185, 213187, 213188 and 213189 and iSensor 62983, 62986, 62988 where applicable.</w:t>
            </w:r>
          </w:p>
        </w:tc>
        <w:tc>
          <w:tcPr>
            <w:tcW w:type="dxa" w:w="2952"/>
            <w:vAlign w:val="center"/>
          </w:tcPr>
          <w:p>
            <w:r>
              <w:t>Rule availability is product-specific. A rule alert describes a detected pattern, not necessarily a successful exploit. [S17]</w:t>
            </w:r>
          </w:p>
        </w:tc>
      </w:tr>
    </w:tbl>
    <w:p>
      <w:pPr>
        <w:spacing w:after="0"/>
      </w:pPr>
    </w:p>
    <w:p>
      <w:pPr>
        <w:pStyle w:val="Heading2"/>
      </w:pPr>
      <w:r>
        <w:t>7.3 Escalation trigger</w:t>
      </w:r>
    </w:p>
    <w:p>
      <w:r>
        <w:t>Escalate promptly when available evidence suggests web-worker code execution, persistence, credential or data access, or credible unexplained post-exploit behavior. Open an IR case and preserve process, disk and log evidence under the organization’s evidence-handling policy. Contain first in coordination with the customer. Then scope lateral movement, secrets and databases, determine legal/insurance notification requirements with counsel, and rebuild from trusted sources when integrity cannot be demonstrated.</w:t>
      </w:r>
    </w:p>
    <w:p>
      <w:pPr>
        <w:pStyle w:val="Heading1"/>
      </w:pPr>
      <w:r>
        <w:t>8. Communicate with customers and third parties</w:t>
      </w:r>
    </w:p>
    <w:p>
      <w:pPr>
        <w:pStyle w:val="Heading2"/>
      </w:pPr>
      <w:r>
        <w:t>8.1 Required communication cadence</w:t>
      </w:r>
    </w:p>
    <w:p>
      <w:r>
        <w:t>Send an initial notice to affected or potentially affected customers with what is known, what is under assessment, which business decisions may be needed, who owns third-party providers, and the next update time. Use a different message when exposure is verified absent versus still unknown.</w:t>
      </w:r>
    </w:p>
    <w:p>
      <w:pPr>
        <w:pStyle w:val="Heading2"/>
      </w:pPr>
      <w:r>
        <w:t>8.2 Initial customer advisory - adaptable text</w:t>
      </w:r>
    </w:p>
    <w:p>
      <w:r>
        <w:t>We are evaluating the newly disclosed PHP2Shell vulnerabilities (CVE-2026-109618 and CVE-2026-109619) across services within our agreed management scope. We are prioritizing exposed PHP applications and confirming patch status with applicable hosting and software providers. This notice is an exposure assessment, not a statement that your systems were compromised. We will provide a customer-specific status and any required approvals or business-impact decisions by [UTC date/time].</w:t>
      </w:r>
    </w:p>
    <w:p>
      <w:pPr>
        <w:pStyle w:val="Heading2"/>
      </w:pPr>
      <w:r>
        <w:t>8.3 Third-party provider request - adaptable text</w:t>
      </w:r>
    </w:p>
    <w:p>
      <w:r>
        <w:t>Please confirm if [service/product/version] embeds an affected PHP web runtime and identify the SAPI, fixed vendor package/build addressing BOTH CVE-2026-109618 and CVE-2026-109619, actual rollout date/time and proof all workers were replaced. For Cisco Expressway/Select, URWB or Duo Access Gateway, specify the product, bug ID, current version, remediation availability and product-specific workaround. For CloudLinux, distinguish native/ea-php/alt-php and repository state; note whether a backport or upstream-numbered package is used. Describe detections from at least 17 October where logs exist, differentiating scanning, blocked/failed attempts, confirmed execution and compromise. Provide advisory URL, owner and next update UTC. Flag the separate 23 October PHP session advisory only if configuration meets its unusual prerequisites. [S17-S19, S21, S23]</w:t>
      </w:r>
    </w:p>
    <w:p>
      <w:pPr>
        <w:pStyle w:val="Heading2"/>
      </w:pPr>
      <w:r>
        <w:t>8.4 Closure notice - adaptable text</w:t>
      </w:r>
    </w:p>
    <w:p>
      <w:r>
        <w:t>Assessment for [customer/scope] is complete as of [UTC date/time]. We evaluated [count] in-scope assets and [count] third-party dependencies. [Count] vulnerable installations were verified remediated, [count] have approved exceptions and [count] remain under vendor investigation. We performed the compromise review described in [report reference]; no assessment can guarantee that no historic exploitation occurred. Outstanding actions, owners and dates appear in the attached register.</w:t>
      </w:r>
    </w:p>
    <w:p>
      <w:r>
        <w:t>Customer communication must avoid statements like “fully safe,” “not exploited” or “all systems protected” without corresponding evidence and an expressly defined scope. Clearly identify third-party assertions that the MSP has not independently confirmed.</w:t>
      </w:r>
    </w:p>
    <w:p>
      <w:pPr>
        <w:pStyle w:val="Heading1"/>
      </w:pPr>
      <w:r>
        <w:t>9. Track, report and close</w:t>
      </w:r>
    </w:p>
    <w:p>
      <w:pPr>
        <w:pStyle w:val="Heading2"/>
      </w:pPr>
      <w:r>
        <w:t>9.1 Exclusive working status values</w:t>
      </w:r>
    </w:p>
    <w:tbl>
      <w:tblPr>
        <w:tblW w:type="auto" w:w="0"/>
        <w:jc w:val="center"/>
        <w:tblLayout w:type="fixed"/>
        <w:tblLook w:firstColumn="1" w:firstRow="1" w:lastColumn="0" w:lastRow="0" w:noHBand="0" w:noVBand="1" w:val="04A0"/>
      </w:tblPr>
      <w:tblGrid>
        <w:gridCol w:w="2880"/>
        <w:gridCol w:w="6984"/>
      </w:tblGrid>
      <w:tr>
        <w:trPr>
          <w:tblHeader w:val="true"/>
          <w:tblHeader w:val="true"/>
        </w:trPr>
        <w:tc>
          <w:tcPr>
            <w:tcW w:type="dxa" w:w="4925"/>
            <w:shd w:fill="E7EFF2"/>
            <w:tcMar>
              <w:top w:w="110" w:type="dxa"/>
              <w:start w:w="105" w:type="dxa"/>
              <w:bottom w:w="110" w:type="dxa"/>
              <w:end w:w="105" w:type="dxa"/>
            </w:tcMar>
            <w:vAlign w:val="center"/>
          </w:tcPr>
          <w:p>
            <w:r>
              <w:rPr>
                <w:b/>
                <w:color w:val="173044"/>
                <w:sz w:val="16"/>
              </w:rPr>
              <w:t>Status</w:t>
            </w:r>
          </w:p>
        </w:tc>
        <w:tc>
          <w:tcPr>
            <w:tcW w:type="dxa" w:w="4925"/>
            <w:shd w:fill="E7EFF2"/>
            <w:tcMar>
              <w:top w:w="110" w:type="dxa"/>
              <w:start w:w="105" w:type="dxa"/>
              <w:bottom w:w="110" w:type="dxa"/>
              <w:end w:w="105" w:type="dxa"/>
            </w:tcMar>
            <w:vAlign w:val="center"/>
          </w:tcPr>
          <w:p>
            <w:r>
              <w:rPr>
                <w:b/>
                <w:color w:val="173044"/>
                <w:sz w:val="16"/>
              </w:rPr>
              <w:t>Meaning</w:t>
            </w:r>
          </w:p>
        </w:tc>
      </w:tr>
      <w:tr>
        <w:tc>
          <w:tcPr>
            <w:tcW w:type="dxa" w:w="2880"/>
            <w:tcMar>
              <w:top w:w="85" w:type="dxa"/>
              <w:start w:w="105" w:type="dxa"/>
              <w:bottom w:w="80" w:type="dxa"/>
              <w:end w:w="100" w:type="dxa"/>
            </w:tcMar>
            <w:vAlign w:val="center"/>
          </w:tcPr>
          <w:p>
            <w:pPr>
              <w:spacing w:after="0"/>
            </w:pPr>
            <w:r>
              <w:rPr>
                <w:sz w:val="16"/>
              </w:rPr>
              <w:t>NOT EVALUATED</w:t>
            </w:r>
          </w:p>
        </w:tc>
        <w:tc>
          <w:tcPr>
            <w:tcW w:type="dxa" w:w="6984"/>
            <w:tcMar>
              <w:top w:w="85" w:type="dxa"/>
              <w:start w:w="105" w:type="dxa"/>
              <w:bottom w:w="80" w:type="dxa"/>
              <w:end w:w="100" w:type="dxa"/>
            </w:tcMar>
            <w:vAlign w:val="center"/>
          </w:tcPr>
          <w:p>
            <w:pPr>
              <w:spacing w:after="0"/>
            </w:pPr>
            <w:r>
              <w:rPr>
                <w:sz w:val="16"/>
              </w:rPr>
              <w:t>Asset or customer scope identified but evidence review not started.</w:t>
            </w:r>
          </w:p>
        </w:tc>
      </w:tr>
      <w:tr>
        <w:tc>
          <w:tcPr>
            <w:tcW w:type="dxa" w:w="2880"/>
            <w:tcMar>
              <w:top w:w="85" w:type="dxa"/>
              <w:start w:w="105" w:type="dxa"/>
              <w:bottom w:w="80" w:type="dxa"/>
              <w:end w:w="100" w:type="dxa"/>
            </w:tcMar>
            <w:vAlign w:val="center"/>
          </w:tcPr>
          <w:p>
            <w:pPr>
              <w:spacing w:after="0"/>
            </w:pPr>
            <w:r>
              <w:rPr>
                <w:sz w:val="16"/>
              </w:rPr>
              <w:t>UNKNOWN</w:t>
            </w:r>
          </w:p>
        </w:tc>
        <w:tc>
          <w:tcPr>
            <w:tcW w:type="dxa" w:w="6984"/>
            <w:tcMar>
              <w:top w:w="85" w:type="dxa"/>
              <w:start w:w="105" w:type="dxa"/>
              <w:bottom w:w="80" w:type="dxa"/>
              <w:end w:w="100" w:type="dxa"/>
            </w:tcMar>
            <w:vAlign w:val="center"/>
          </w:tcPr>
          <w:p>
            <w:pPr>
              <w:spacing w:after="0"/>
            </w:pPr>
            <w:r>
              <w:rPr>
                <w:sz w:val="16"/>
              </w:rPr>
              <w:t>Assessment attempted; insufficient evidence, missing permissions or missing provider confirmation.</w:t>
            </w:r>
          </w:p>
        </w:tc>
      </w:tr>
      <w:tr>
        <w:tc>
          <w:tcPr>
            <w:tcW w:type="dxa" w:w="2880"/>
            <w:tcMar>
              <w:top w:w="85" w:type="dxa"/>
              <w:start w:w="105" w:type="dxa"/>
              <w:bottom w:w="80" w:type="dxa"/>
              <w:end w:w="100" w:type="dxa"/>
            </w:tcMar>
            <w:vAlign w:val="center"/>
          </w:tcPr>
          <w:p>
            <w:pPr>
              <w:spacing w:after="0"/>
            </w:pPr>
            <w:r>
              <w:rPr>
                <w:sz w:val="16"/>
              </w:rPr>
              <w:t>NOT AFFECTED - VERIFIED</w:t>
            </w:r>
          </w:p>
        </w:tc>
        <w:tc>
          <w:tcPr>
            <w:tcW w:type="dxa" w:w="6984"/>
            <w:tcMar>
              <w:top w:w="85" w:type="dxa"/>
              <w:start w:w="105" w:type="dxa"/>
              <w:bottom w:w="80" w:type="dxa"/>
              <w:end w:w="100" w:type="dxa"/>
            </w:tcMar>
            <w:vAlign w:val="center"/>
          </w:tcPr>
          <w:p>
            <w:r>
              <w:t>The defined scope has adequate evidence of no affected PHP use or no relevant exposure; a patched formerly vulnerable runtime belongs under PATCHED - VERIFIED.</w:t>
            </w:r>
          </w:p>
        </w:tc>
      </w:tr>
      <w:tr>
        <w:tc>
          <w:tcPr>
            <w:tcW w:type="dxa" w:w="2880"/>
            <w:tcMar>
              <w:top w:w="85" w:type="dxa"/>
              <w:start w:w="105" w:type="dxa"/>
              <w:bottom w:w="80" w:type="dxa"/>
              <w:end w:w="100" w:type="dxa"/>
            </w:tcMar>
            <w:vAlign w:val="center"/>
          </w:tcPr>
          <w:p>
            <w:pPr>
              <w:spacing w:after="0"/>
            </w:pPr>
            <w:r>
              <w:rPr>
                <w:sz w:val="16"/>
              </w:rPr>
              <w:t>VULNERABLE</w:t>
            </w:r>
          </w:p>
        </w:tc>
        <w:tc>
          <w:tcPr>
            <w:tcW w:type="dxa" w:w="6984"/>
            <w:tcMar>
              <w:top w:w="85" w:type="dxa"/>
              <w:start w:w="105" w:type="dxa"/>
              <w:bottom w:w="80" w:type="dxa"/>
              <w:end w:w="100" w:type="dxa"/>
            </w:tcMar>
            <w:vAlign w:val="center"/>
          </w:tcPr>
          <w:p>
            <w:pPr>
              <w:spacing w:after="0"/>
            </w:pPr>
            <w:r>
              <w:rPr>
                <w:sz w:val="16"/>
              </w:rPr>
              <w:t>Unpatched affected serving runtime confirmed.</w:t>
            </w:r>
          </w:p>
        </w:tc>
      </w:tr>
      <w:tr>
        <w:tc>
          <w:tcPr>
            <w:tcW w:type="dxa" w:w="2880"/>
            <w:tcMar>
              <w:top w:w="85" w:type="dxa"/>
              <w:start w:w="105" w:type="dxa"/>
              <w:bottom w:w="80" w:type="dxa"/>
              <w:end w:w="100" w:type="dxa"/>
            </w:tcMar>
            <w:vAlign w:val="center"/>
          </w:tcPr>
          <w:p>
            <w:pPr>
              <w:spacing w:after="0"/>
            </w:pPr>
            <w:r>
              <w:rPr>
                <w:sz w:val="16"/>
              </w:rPr>
              <w:t>TEMPORARILY MITIGATED</w:t>
            </w:r>
          </w:p>
        </w:tc>
        <w:tc>
          <w:tcPr>
            <w:tcW w:type="dxa" w:w="6984"/>
            <w:tcMar>
              <w:top w:w="85" w:type="dxa"/>
              <w:start w:w="105" w:type="dxa"/>
              <w:bottom w:w="80" w:type="dxa"/>
              <w:end w:w="100" w:type="dxa"/>
            </w:tcMar>
            <w:vAlign w:val="center"/>
          </w:tcPr>
          <w:p>
            <w:pPr>
              <w:spacing w:after="0"/>
            </w:pPr>
            <w:r>
              <w:rPr>
                <w:sz w:val="16"/>
              </w:rPr>
              <w:t>Interim control applied; complete patch still required.</w:t>
            </w:r>
          </w:p>
        </w:tc>
      </w:tr>
      <w:tr>
        <w:tc>
          <w:tcPr>
            <w:tcW w:type="dxa" w:w="2880"/>
            <w:tcMar>
              <w:top w:w="85" w:type="dxa"/>
              <w:start w:w="105" w:type="dxa"/>
              <w:bottom w:w="80" w:type="dxa"/>
              <w:end w:w="100" w:type="dxa"/>
            </w:tcMar>
            <w:vAlign w:val="center"/>
          </w:tcPr>
          <w:p>
            <w:pPr>
              <w:spacing w:after="0"/>
            </w:pPr>
            <w:r>
              <w:rPr>
                <w:sz w:val="16"/>
              </w:rPr>
              <w:t>PATCHED - UNVERIFIED</w:t>
            </w:r>
          </w:p>
        </w:tc>
        <w:tc>
          <w:tcPr>
            <w:tcW w:type="dxa" w:w="6984"/>
            <w:tcMar>
              <w:top w:w="85" w:type="dxa"/>
              <w:start w:w="105" w:type="dxa"/>
              <w:bottom w:w="80" w:type="dxa"/>
              <w:end w:w="100" w:type="dxa"/>
            </w:tcMar>
            <w:vAlign w:val="center"/>
          </w:tcPr>
          <w:p>
            <w:pPr>
              <w:spacing w:after="0"/>
            </w:pPr>
            <w:r>
              <w:rPr>
                <w:sz w:val="16"/>
              </w:rPr>
              <w:t>Change reported or installed; serving runtime and validation pending.</w:t>
            </w:r>
          </w:p>
        </w:tc>
      </w:tr>
      <w:tr>
        <w:tc>
          <w:tcPr>
            <w:tcW w:type="dxa" w:w="2880"/>
            <w:tcMar>
              <w:top w:w="85" w:type="dxa"/>
              <w:start w:w="105" w:type="dxa"/>
              <w:bottom w:w="80" w:type="dxa"/>
              <w:end w:w="100" w:type="dxa"/>
            </w:tcMar>
            <w:vAlign w:val="center"/>
          </w:tcPr>
          <w:p>
            <w:pPr>
              <w:spacing w:after="0"/>
            </w:pPr>
            <w:r>
              <w:rPr>
                <w:sz w:val="16"/>
              </w:rPr>
              <w:t>PATCHED - VERIFIED</w:t>
            </w:r>
          </w:p>
        </w:tc>
        <w:tc>
          <w:tcPr>
            <w:tcW w:type="dxa" w:w="6984"/>
            <w:tcMar>
              <w:top w:w="85" w:type="dxa"/>
              <w:start w:w="105" w:type="dxa"/>
              <w:bottom w:w="80" w:type="dxa"/>
              <w:end w:w="100" w:type="dxa"/>
            </w:tcMar>
            <w:vAlign w:val="center"/>
          </w:tcPr>
          <w:p>
            <w:pPr>
              <w:spacing w:after="0"/>
            </w:pPr>
            <w:r>
              <w:rPr>
                <w:sz w:val="16"/>
              </w:rPr>
              <w:t>Correct fix active in serving runtime, workers replaced and tests passed.</w:t>
            </w:r>
          </w:p>
        </w:tc>
      </w:tr>
      <w:tr>
        <w:tc>
          <w:tcPr>
            <w:tcW w:type="dxa" w:w="2880"/>
            <w:tcMar>
              <w:top w:w="85" w:type="dxa"/>
              <w:start w:w="105" w:type="dxa"/>
              <w:bottom w:w="80" w:type="dxa"/>
              <w:end w:w="100" w:type="dxa"/>
            </w:tcMar>
            <w:vAlign w:val="center"/>
          </w:tcPr>
          <w:p>
            <w:pPr>
              <w:spacing w:after="0"/>
            </w:pPr>
            <w:r>
              <w:rPr>
                <w:sz w:val="16"/>
              </w:rPr>
              <w:t>SUSPECTED COMPROMISE</w:t>
            </w:r>
          </w:p>
        </w:tc>
        <w:tc>
          <w:tcPr>
            <w:tcW w:type="dxa" w:w="6984"/>
            <w:tcMar>
              <w:top w:w="85" w:type="dxa"/>
              <w:start w:w="105" w:type="dxa"/>
              <w:bottom w:w="80" w:type="dxa"/>
              <w:end w:w="100" w:type="dxa"/>
            </w:tcMar>
            <w:vAlign w:val="center"/>
          </w:tcPr>
          <w:p>
            <w:pPr>
              <w:spacing w:after="0"/>
            </w:pPr>
            <w:r>
              <w:rPr>
                <w:sz w:val="16"/>
              </w:rPr>
              <w:t>IR investigation opened; do not hide behind patch status.</w:t>
            </w:r>
          </w:p>
        </w:tc>
      </w:tr>
      <w:tr>
        <w:tc>
          <w:tcPr>
            <w:tcW w:type="dxa" w:w="2880"/>
            <w:tcMar>
              <w:top w:w="85" w:type="dxa"/>
              <w:start w:w="105" w:type="dxa"/>
              <w:bottom w:w="80" w:type="dxa"/>
              <w:end w:w="100" w:type="dxa"/>
            </w:tcMar>
            <w:vAlign w:val="center"/>
          </w:tcPr>
          <w:p>
            <w:pPr>
              <w:spacing w:after="0"/>
            </w:pPr>
            <w:r>
              <w:rPr>
                <w:sz w:val="16"/>
              </w:rPr>
              <w:t>EXCEPTION APPROVED</w:t>
            </w:r>
          </w:p>
        </w:tc>
        <w:tc>
          <w:tcPr>
            <w:tcW w:type="dxa" w:w="6984"/>
            <w:tcMar>
              <w:top w:w="85" w:type="dxa"/>
              <w:start w:w="105" w:type="dxa"/>
              <w:bottom w:w="80" w:type="dxa"/>
              <w:end w:w="100" w:type="dxa"/>
            </w:tcMar>
            <w:vAlign w:val="center"/>
          </w:tcPr>
          <w:p>
            <w:pPr>
              <w:spacing w:after="0"/>
            </w:pPr>
            <w:r>
              <w:rPr>
                <w:sz w:val="16"/>
              </w:rPr>
              <w:t>Named customer risk owner approved retained risk, controls and expiry.</w:t>
            </w:r>
          </w:p>
        </w:tc>
      </w:tr>
    </w:tbl>
    <w:p>
      <w:pPr>
        <w:spacing w:after="0"/>
      </w:pPr>
    </w:p>
    <w:p>
      <w:r>
        <w:t>An individual asset can require both a remediation status and a separate compromise-review status. Keep those fields independent. A provider dependency is not “complete” until evidence is adequate or responsibility is formally transferred with customer acknowledgment.</w:t>
      </w:r>
    </w:p>
    <w:p>
      <w:pPr>
        <w:pStyle w:val="Heading2"/>
      </w:pPr>
      <w:r>
        <w:t>9.2 Daily coordinator report</w:t>
      </w:r>
    </w:p>
    <w:p>
      <w:r>
        <w:t>Report scope by customers and assets, statuses PATCHED - VERIFIED / PATCHED - UNVERIFIED / vendor pending, open exceptions, and unknowns. Include Cisco and PAN-OS/Panorama products when applicable. Provide number and coverage of retrospectives since 17 October, logging gaps, attempted/blocked events and substantiated code execution or compromise as DIFFERENT counts. Record pending CVE-2026-115560 configuration mitigation separately from PHP2Shell patch status. [S17-S23]</w:t>
      </w:r>
    </w:p>
    <w:p>
      <w:pPr>
        <w:pStyle w:val="Heading2"/>
      </w:pPr>
      <w:r>
        <w:t>9.3 Closure gate</w:t>
      </w:r>
    </w:p>
    <w:p>
      <w:pPr>
        <w:spacing w:after="60"/>
        <w:ind w:left="288" w:hanging="259"/>
      </w:pPr>
      <w:r>
        <w:t>1.  Every customer in scope has received an assessment disposition or explicit bounded limitation.</w:t>
      </w:r>
    </w:p>
    <w:p>
      <w:pPr>
        <w:spacing w:after="60"/>
        <w:ind w:left="288" w:hanging="259"/>
      </w:pPr>
      <w:r>
        <w:t>2.  Every discovered PHP instance has runtime, owner, serving-path evidence and remediation status, or remains in an assigned open-risk register.</w:t>
      </w:r>
    </w:p>
    <w:p>
      <w:pPr>
        <w:spacing w:after="60"/>
        <w:ind w:left="288" w:hanging="259"/>
      </w:pPr>
      <w:r>
        <w:t>3.  Every applicable third-party dependency has vendor response evidence or documented escalation and risk acceptance.</w:t>
      </w:r>
    </w:p>
    <w:p>
      <w:pPr>
        <w:spacing w:after="60"/>
        <w:ind w:left="288" w:hanging="259"/>
      </w:pPr>
      <w:r>
        <w:t>4.  Every patch is verified in the active runtime; all affected workers/images are replaced.</w:t>
      </w:r>
    </w:p>
    <w:p>
      <w:pPr>
        <w:spacing w:after="60"/>
        <w:ind w:left="288" w:hanging="259"/>
      </w:pPr>
      <w:r>
        <w:t>5.  Each exposed asset has an explicit retrospective-review disposition covering at least 17 October 2026 when logs exist. The review records unavailable intervals, IOC matches and category of evidence (scan, failed/blocked attempt, laboratory-only claim, confirmed asset execution, confirmed follow-on compromise). Do not equate a WAF block with compromise, a patch receipt with clean history, or missing alerts with assurance. Escalate credible signs under the IR process. [S12, S17-S18]</w:t>
      </w:r>
    </w:p>
    <w:p>
      <w:pPr>
        <w:spacing w:after="60"/>
        <w:ind w:left="288" w:hanging="259"/>
      </w:pPr>
      <w:r>
        <w:t>6.  Final customer notice and internal after-action review are recorded. Recheck later vendor advisories and missed discovery leads.</w:t>
      </w:r>
    </w:p>
    <w:p>
      <w:pPr/>
      <w:r>
        <w:t>7.  Affected Cisco and other embedded-vendor products have build/patch-availability evidence or a named open-risk owner with a dated recheck. Document Cisco bug-specific workarounds and access prerequisites rather than assuming upstream PHP packages patch an appliance. [S21]</w:t>
      </w:r>
    </w:p>
    <w:p>
      <w:pPr/>
      <w:r>
        <w:t>8.  For PHP session upload progress, document ongoing temporary control or unaffected configuration while awaiting the separate CVE-2026-115560 regular-cycle fix; do not report this as closed merely because PHP2Shell patches are installed. [S23]</w:t>
      </w:r>
    </w:p>
    <w:p>
      <w:pPr>
        <w:pStyle w:val="Heading1"/>
      </w:pPr>
      <w:r>
        <w:t>10. Runbook for exceptions, failures and disagreements</w:t>
      </w:r>
    </w:p>
    <w:p>
      <w:pPr>
        <w:pStyle w:val="Heading2"/>
      </w:pPr>
      <w:r>
        <w:t>Provider will not confirm patch status</w:t>
      </w:r>
    </w:p>
    <w:p>
      <w:r>
        <w:t>Record UNKNOWN, request vendor package and timestamp, escalate through customer owner, and consider compensating access restrictions or migration. Do not mark “not affected” based on silence.</w:t>
      </w:r>
    </w:p>
    <w:p>
      <w:pPr>
        <w:pStyle w:val="Heading2"/>
      </w:pPr>
      <w:r>
        <w:t>Application breaks after patch</w:t>
      </w:r>
    </w:p>
    <w:p>
      <w:r>
        <w:t>Invoke the approved rollback and outage process; preserve logs; document service restoration; isolate the vulnerable service if rolled back. Do not silently leave it exposed after restoring service.</w:t>
      </w:r>
    </w:p>
    <w:p>
      <w:pPr>
        <w:pStyle w:val="Heading2"/>
      </w:pPr>
      <w:r>
        <w:t>Conflicting version results</w:t>
      </w:r>
    </w:p>
    <w:p>
      <w:r>
        <w:t>Reconcile CLI PHP, front-end handler, active worker executable/module, multiple FPM pools, container tags/digests and control-panel-selected version. Record each rather than choosing the newest result.</w:t>
      </w:r>
    </w:p>
    <w:p>
      <w:pPr>
        <w:pStyle w:val="Heading2"/>
      </w:pPr>
      <w:r>
        <w:t>Possible compromise discovered during change</w:t>
      </w:r>
    </w:p>
    <w:p>
      <w:r>
        <w:t>Pause destructive remediation long enough for the incident-response lead to preserve relevant evidence. Make containment and customer notification decisions under the IR process, then patch or rebuild under directed response.</w:t>
      </w:r>
    </w:p>
    <w:p>
      <w:pPr>
        <w:pStyle w:val="Heading2"/>
      </w:pPr>
      <w:r>
        <w:t>Customer refuses downtime</w:t>
      </w:r>
    </w:p>
    <w:p>
      <w:r>
        <w:t>Present patch, restricted-access, temporary suspension and formally accepted risk options. Record who accepted residual risk and when it expires. Never equate a business exception with a fixed system.</w:t>
      </w:r>
    </w:p>
    <w:p>
      <w:pPr>
        <w:pStyle w:val="Heading1"/>
      </w:pPr>
      <w:r>
        <w:t>Appendix A. One-page technician field checklist</w:t>
      </w:r>
    </w:p>
    <w:p>
      <w:pPr>
        <w:pStyle w:val="Heading2"/>
      </w:pPr>
      <w:r>
        <w:t>Discover</w:t>
      </w:r>
    </w:p>
    <w:p>
      <w:pPr>
        <w:pStyle w:val="ListBullet"/>
      </w:pPr>
      <w:r>
        <w:t>[  ]  Customer and asset ID</w:t>
      </w:r>
    </w:p>
    <w:p>
      <w:pPr>
        <w:pStyle w:val="ListBullet"/>
      </w:pPr>
      <w:r>
        <w:t>[  ]  Application owner and business function</w:t>
      </w:r>
    </w:p>
    <w:p>
      <w:pPr>
        <w:pStyle w:val="ListBullet"/>
      </w:pPr>
      <w:r>
        <w:t>[  ]  All runtime paths and versions</w:t>
      </w:r>
    </w:p>
    <w:p>
      <w:pPr>
        <w:pStyle w:val="ListBullet"/>
      </w:pPr>
      <w:r>
        <w:t>[  ]  Serving SAPI/worker/image</w:t>
      </w:r>
    </w:p>
    <w:p>
      <w:pPr>
        <w:pStyle w:val="ListBullet"/>
      </w:pPr>
      <w:r>
        <w:t>[  ]  Exposure: internet / internal / localhost / CLI</w:t>
      </w:r>
    </w:p>
    <w:p>
      <w:pPr>
        <w:pStyle w:val="ListBullet"/>
      </w:pPr>
      <w:r>
        <w:t>[  ]  Vendor or hosting dependencies</w:t>
      </w:r>
    </w:p>
    <w:p>
      <w:pPr>
        <w:pStyle w:val="Heading2"/>
      </w:pPr>
      <w:r>
        <w:t>Remediate</w:t>
      </w:r>
    </w:p>
    <w:p>
      <w:pPr>
        <w:pStyle w:val="ListBullet"/>
      </w:pPr>
      <w:r>
        <w:t>[  ]  Fixed upstream or documented backported package</w:t>
      </w:r>
    </w:p>
    <w:p>
      <w:pPr>
        <w:pStyle w:val="ListBullet"/>
      </w:pPr>
      <w:r>
        <w:t>[  ]  Change approval and rollback plan</w:t>
      </w:r>
    </w:p>
    <w:p>
      <w:pPr>
        <w:pStyle w:val="ListBullet"/>
      </w:pPr>
      <w:r>
        <w:t>[  ]  If IR concern, preserve evidence first</w:t>
      </w:r>
    </w:p>
    <w:p>
      <w:pPr>
        <w:pStyle w:val="ListBullet"/>
      </w:pPr>
      <w:r>
        <w:t>[  ]  Update all instances and replace workers</w:t>
      </w:r>
    </w:p>
    <w:p>
      <w:pPr>
        <w:pStyle w:val="ListBullet"/>
      </w:pPr>
      <w:r>
        <w:t>[  ]  Validate functionality and access controls</w:t>
      </w:r>
    </w:p>
    <w:p>
      <w:pPr>
        <w:pStyle w:val="Heading2"/>
      </w:pPr>
      <w:r>
        <w:t>Verify and close</w:t>
      </w:r>
    </w:p>
    <w:p>
      <w:pPr>
        <w:pStyle w:val="ListBullet"/>
      </w:pPr>
      <w:r>
        <w:t>[  ]  Serving-runtime proof</w:t>
      </w:r>
    </w:p>
    <w:p>
      <w:pPr>
        <w:pStyle w:val="ListBullet"/>
      </w:pPr>
      <w:r>
        <w:t>[  ]  Security telemetry and compromise disposition</w:t>
      </w:r>
    </w:p>
    <w:p>
      <w:pPr>
        <w:pStyle w:val="ListBullet"/>
      </w:pPr>
      <w:r>
        <w:t>[  ]  UTC timestamp and reviewer</w:t>
      </w:r>
    </w:p>
    <w:p>
      <w:pPr>
        <w:pStyle w:val="ListBullet"/>
      </w:pPr>
      <w:r>
        <w:t>[  ]  Customer notice</w:t>
      </w:r>
    </w:p>
    <w:p>
      <w:pPr>
        <w:pStyle w:val="ListBullet"/>
      </w:pPr>
      <w:r>
        <w:t>[  ]  Open vendor items/exceptions with owner and date</w:t>
      </w:r>
    </w:p>
    <w:p>
      <w:pPr>
        <w:pStyle w:val="Heading1"/>
      </w:pPr>
      <w:r>
        <w:t>Appendix B. Platform verification quick reference</w:t>
      </w:r>
    </w:p>
    <w:tbl>
      <w:tblPr>
        <w:tblW w:type="auto" w:w="0"/>
        <w:jc w:val="center"/>
        <w:tblLayout w:type="fixed"/>
        <w:tblLook w:firstColumn="1" w:firstRow="1" w:lastColumn="0" w:lastRow="0" w:noHBand="0" w:noVBand="1" w:val="04A0"/>
      </w:tblPr>
      <w:tblGrid>
        <w:gridCol w:w="2160"/>
        <w:gridCol w:w="4680"/>
        <w:gridCol w:w="3024"/>
      </w:tblGrid>
      <w:tr>
        <w:trPr>
          <w:tblHeader w:val="true"/>
          <w:tblHeader w:val="true"/>
        </w:trPr>
        <w:tc>
          <w:tcPr>
            <w:tcW w:type="dxa" w:w="3283"/>
            <w:shd w:fill="E7EFF2"/>
            <w:tcMar>
              <w:top w:w="110" w:type="dxa"/>
              <w:start w:w="105" w:type="dxa"/>
              <w:bottom w:w="110" w:type="dxa"/>
              <w:end w:w="105" w:type="dxa"/>
            </w:tcMar>
            <w:vAlign w:val="center"/>
          </w:tcPr>
          <w:p>
            <w:r>
              <w:rPr>
                <w:b/>
                <w:color w:val="173044"/>
                <w:sz w:val="16"/>
              </w:rPr>
              <w:t>Platform</w:t>
            </w:r>
          </w:p>
        </w:tc>
        <w:tc>
          <w:tcPr>
            <w:tcW w:type="dxa" w:w="3283"/>
            <w:shd w:fill="E7EFF2"/>
            <w:tcMar>
              <w:top w:w="110" w:type="dxa"/>
              <w:start w:w="105" w:type="dxa"/>
              <w:bottom w:w="110" w:type="dxa"/>
              <w:end w:w="105" w:type="dxa"/>
            </w:tcMar>
            <w:vAlign w:val="center"/>
          </w:tcPr>
          <w:p>
            <w:r>
              <w:rPr>
                <w:b/>
                <w:color w:val="173044"/>
                <w:sz w:val="16"/>
              </w:rPr>
              <w:t>Inventory / validation emphasis</w:t>
            </w:r>
          </w:p>
        </w:tc>
        <w:tc>
          <w:tcPr>
            <w:tcW w:type="dxa" w:w="3283"/>
            <w:shd w:fill="E7EFF2"/>
            <w:tcMar>
              <w:top w:w="110" w:type="dxa"/>
              <w:start w:w="105" w:type="dxa"/>
              <w:bottom w:w="110" w:type="dxa"/>
              <w:end w:w="105" w:type="dxa"/>
            </w:tcMar>
            <w:vAlign w:val="center"/>
          </w:tcPr>
          <w:p>
            <w:r>
              <w:rPr>
                <w:b/>
                <w:color w:val="173044"/>
                <w:sz w:val="16"/>
              </w:rPr>
              <w:t>Evidence to keep</w:t>
            </w:r>
          </w:p>
        </w:tc>
      </w:tr>
      <w:tr>
        <w:tc>
          <w:tcPr>
            <w:tcW w:type="dxa" w:w="2160"/>
            <w:tcMar>
              <w:top w:w="85" w:type="dxa"/>
              <w:start w:w="105" w:type="dxa"/>
              <w:bottom w:w="80" w:type="dxa"/>
              <w:end w:w="100" w:type="dxa"/>
            </w:tcMar>
            <w:vAlign w:val="center"/>
          </w:tcPr>
          <w:p>
            <w:pPr>
              <w:spacing w:after="0"/>
            </w:pPr>
            <w:r>
              <w:rPr>
                <w:sz w:val="16"/>
              </w:rPr>
              <w:t>Windows / IIS</w:t>
            </w:r>
          </w:p>
        </w:tc>
        <w:tc>
          <w:tcPr>
            <w:tcW w:type="dxa" w:w="4680"/>
            <w:tcMar>
              <w:top w:w="85" w:type="dxa"/>
              <w:start w:w="105" w:type="dxa"/>
              <w:bottom w:w="80" w:type="dxa"/>
              <w:end w:w="100" w:type="dxa"/>
            </w:tcMar>
            <w:vAlign w:val="center"/>
          </w:tcPr>
          <w:p>
            <w:pPr>
              <w:spacing w:after="0"/>
            </w:pPr>
            <w:r>
              <w:rPr>
                <w:sz w:val="16"/>
              </w:rPr>
              <w:t>IIS FastCGI mapping and php-cgi path, TS/NTS compatibility, old process exit, extensions.</w:t>
            </w:r>
          </w:p>
        </w:tc>
        <w:tc>
          <w:tcPr>
            <w:tcW w:type="dxa" w:w="3024"/>
            <w:tcMar>
              <w:top w:w="85" w:type="dxa"/>
              <w:start w:w="105" w:type="dxa"/>
              <w:bottom w:w="80" w:type="dxa"/>
              <w:end w:w="100" w:type="dxa"/>
            </w:tcMar>
            <w:vAlign w:val="center"/>
          </w:tcPr>
          <w:p>
            <w:pPr>
              <w:spacing w:after="0"/>
            </w:pPr>
            <w:r>
              <w:rPr>
                <w:sz w:val="16"/>
              </w:rPr>
              <w:t>Mapping screenshot or config, binary version, worker restart and smoke tests.</w:t>
            </w:r>
          </w:p>
        </w:tc>
      </w:tr>
      <w:tr>
        <w:tc>
          <w:tcPr>
            <w:tcW w:type="dxa" w:w="2160"/>
            <w:tcMar>
              <w:top w:w="85" w:type="dxa"/>
              <w:start w:w="105" w:type="dxa"/>
              <w:bottom w:w="80" w:type="dxa"/>
              <w:end w:w="100" w:type="dxa"/>
            </w:tcMar>
            <w:vAlign w:val="center"/>
          </w:tcPr>
          <w:p>
            <w:pPr>
              <w:spacing w:after="0"/>
            </w:pPr>
            <w:r>
              <w:rPr>
                <w:sz w:val="16"/>
              </w:rPr>
              <w:t>Apache mod_php</w:t>
            </w:r>
          </w:p>
        </w:tc>
        <w:tc>
          <w:tcPr>
            <w:tcW w:type="dxa" w:w="4680"/>
            <w:tcMar>
              <w:top w:w="85" w:type="dxa"/>
              <w:start w:w="105" w:type="dxa"/>
              <w:bottom w:w="80" w:type="dxa"/>
              <w:end w:w="100" w:type="dxa"/>
            </w:tcMar>
            <w:vAlign w:val="center"/>
          </w:tcPr>
          <w:p>
            <w:pPr>
              <w:spacing w:after="0"/>
            </w:pPr>
            <w:r>
              <w:rPr>
                <w:sz w:val="16"/>
              </w:rPr>
              <w:t>Loaded libphp module, package build and httpd graceful/full restart outcome.</w:t>
            </w:r>
          </w:p>
        </w:tc>
        <w:tc>
          <w:tcPr>
            <w:tcW w:type="dxa" w:w="3024"/>
            <w:tcMar>
              <w:top w:w="85" w:type="dxa"/>
              <w:start w:w="105" w:type="dxa"/>
              <w:bottom w:w="80" w:type="dxa"/>
              <w:end w:w="100" w:type="dxa"/>
            </w:tcMar>
            <w:vAlign w:val="center"/>
          </w:tcPr>
          <w:p>
            <w:pPr>
              <w:spacing w:after="0"/>
            </w:pPr>
            <w:r>
              <w:rPr>
                <w:sz w:val="16"/>
              </w:rPr>
              <w:t>mod_php package evidence, active workers and application checks.</w:t>
            </w:r>
          </w:p>
        </w:tc>
      </w:tr>
      <w:tr>
        <w:tc>
          <w:tcPr>
            <w:tcW w:type="dxa" w:w="2160"/>
            <w:tcMar>
              <w:top w:w="85" w:type="dxa"/>
              <w:start w:w="105" w:type="dxa"/>
              <w:bottom w:w="80" w:type="dxa"/>
              <w:end w:w="100" w:type="dxa"/>
            </w:tcMar>
            <w:vAlign w:val="center"/>
          </w:tcPr>
          <w:p>
            <w:pPr>
              <w:spacing w:after="0"/>
            </w:pPr>
            <w:r>
              <w:rPr>
                <w:sz w:val="16"/>
              </w:rPr>
              <w:t>Nginx / FPM</w:t>
            </w:r>
          </w:p>
        </w:tc>
        <w:tc>
          <w:tcPr>
            <w:tcW w:type="dxa" w:w="4680"/>
            <w:tcMar>
              <w:top w:w="85" w:type="dxa"/>
              <w:start w:w="105" w:type="dxa"/>
              <w:bottom w:w="80" w:type="dxa"/>
              <w:end w:w="100" w:type="dxa"/>
            </w:tcMar>
            <w:vAlign w:val="center"/>
          </w:tcPr>
          <w:p>
            <w:pPr>
              <w:spacing w:after="0"/>
            </w:pPr>
            <w:r>
              <w:rPr>
                <w:sz w:val="16"/>
              </w:rPr>
              <w:t>Per-site fastcgi_pass, pool socket/service, pool package and active worker lifetime.</w:t>
            </w:r>
          </w:p>
        </w:tc>
        <w:tc>
          <w:tcPr>
            <w:tcW w:type="dxa" w:w="3024"/>
            <w:tcMar>
              <w:top w:w="85" w:type="dxa"/>
              <w:start w:w="105" w:type="dxa"/>
              <w:bottom w:w="80" w:type="dxa"/>
              <w:end w:w="100" w:type="dxa"/>
            </w:tcMar>
            <w:vAlign w:val="center"/>
          </w:tcPr>
          <w:p>
            <w:pPr>
              <w:spacing w:after="0"/>
            </w:pPr>
            <w:r>
              <w:rPr>
                <w:sz w:val="16"/>
              </w:rPr>
              <w:t>Pool map, PHP-FPM package, restart, route tests.</w:t>
            </w:r>
          </w:p>
        </w:tc>
      </w:tr>
      <w:tr>
        <w:tc>
          <w:tcPr>
            <w:tcW w:type="dxa" w:w="2160"/>
            <w:tcMar>
              <w:top w:w="85" w:type="dxa"/>
              <w:start w:w="105" w:type="dxa"/>
              <w:bottom w:w="80" w:type="dxa"/>
              <w:end w:w="100" w:type="dxa"/>
            </w:tcMar>
            <w:vAlign w:val="center"/>
          </w:tcPr>
          <w:p>
            <w:pPr>
              <w:spacing w:after="0"/>
            </w:pPr>
            <w:r>
              <w:rPr>
                <w:sz w:val="16"/>
              </w:rPr>
              <w:t>cPanel / CloudLinux</w:t>
            </w:r>
          </w:p>
        </w:tc>
        <w:tc>
          <w:tcPr>
            <w:tcW w:type="dxa" w:w="4680"/>
            <w:tcMar>
              <w:top w:w="85" w:type="dxa"/>
              <w:start w:w="105" w:type="dxa"/>
              <w:bottom w:w="80" w:type="dxa"/>
              <w:end w:w="100" w:type="dxa"/>
            </w:tcMar>
            <w:vAlign w:val="center"/>
          </w:tcPr>
          <w:p>
            <w:pPr>
              <w:spacing w:after="0"/>
            </w:pPr>
            <w:r>
              <w:rPr>
                <w:sz w:val="16"/>
              </w:rPr>
              <w:t>Panel build, EA-PHP/ALT-PHP package releases, domain-selected handlers.</w:t>
            </w:r>
          </w:p>
        </w:tc>
        <w:tc>
          <w:tcPr>
            <w:tcW w:type="dxa" w:w="3024"/>
            <w:tcMar>
              <w:top w:w="85" w:type="dxa"/>
              <w:start w:w="105" w:type="dxa"/>
              <w:bottom w:w="80" w:type="dxa"/>
              <w:end w:w="100" w:type="dxa"/>
            </w:tcMar>
            <w:vAlign w:val="center"/>
          </w:tcPr>
          <w:p>
            <w:pPr>
              <w:spacing w:after="0"/>
            </w:pPr>
            <w:r>
              <w:rPr>
                <w:sz w:val="16"/>
              </w:rPr>
              <w:t>Vendor release matrix and package transaction log.</w:t>
            </w:r>
          </w:p>
        </w:tc>
      </w:tr>
      <w:tr>
        <w:tc>
          <w:tcPr>
            <w:tcW w:type="dxa" w:w="2160"/>
            <w:tcMar>
              <w:top w:w="85" w:type="dxa"/>
              <w:start w:w="105" w:type="dxa"/>
              <w:bottom w:w="80" w:type="dxa"/>
              <w:end w:w="100" w:type="dxa"/>
            </w:tcMar>
            <w:vAlign w:val="center"/>
          </w:tcPr>
          <w:p>
            <w:pPr>
              <w:spacing w:after="0"/>
            </w:pPr>
            <w:r>
              <w:rPr>
                <w:sz w:val="16"/>
              </w:rPr>
              <w:t>Plesk</w:t>
            </w:r>
          </w:p>
        </w:tc>
        <w:tc>
          <w:tcPr>
            <w:tcW w:type="dxa" w:w="4680"/>
            <w:tcMar>
              <w:top w:w="85" w:type="dxa"/>
              <w:start w:w="105" w:type="dxa"/>
              <w:bottom w:w="80" w:type="dxa"/>
              <w:end w:w="100" w:type="dxa"/>
            </w:tcMar>
            <w:vAlign w:val="center"/>
          </w:tcPr>
          <w:p>
            <w:pPr>
              <w:spacing w:after="0"/>
            </w:pPr>
            <w:r>
              <w:rPr>
                <w:sz w:val="16"/>
              </w:rPr>
              <w:t>Plesk-shipped PHP handlers and additional Plesk components.</w:t>
            </w:r>
          </w:p>
        </w:tc>
        <w:tc>
          <w:tcPr>
            <w:tcW w:type="dxa" w:w="3024"/>
            <w:tcMar>
              <w:top w:w="85" w:type="dxa"/>
              <w:start w:w="105" w:type="dxa"/>
              <w:bottom w:w="80" w:type="dxa"/>
              <w:end w:w="100" w:type="dxa"/>
            </w:tcMar>
            <w:vAlign w:val="center"/>
          </w:tcPr>
          <w:p>
            <w:pPr>
              <w:spacing w:after="0"/>
            </w:pPr>
            <w:r>
              <w:rPr>
                <w:sz w:val="16"/>
              </w:rPr>
              <w:t>Current Plesk advisory, package identifiers, restart proof.</w:t>
            </w:r>
          </w:p>
        </w:tc>
      </w:tr>
      <w:tr>
        <w:tc>
          <w:tcPr>
            <w:tcW w:type="dxa" w:w="2160"/>
            <w:tcMar>
              <w:top w:w="85" w:type="dxa"/>
              <w:start w:w="105" w:type="dxa"/>
              <w:bottom w:w="80" w:type="dxa"/>
              <w:end w:w="100" w:type="dxa"/>
            </w:tcMar>
            <w:vAlign w:val="center"/>
          </w:tcPr>
          <w:p>
            <w:pPr>
              <w:spacing w:after="0"/>
            </w:pPr>
            <w:r>
              <w:rPr>
                <w:sz w:val="16"/>
              </w:rPr>
              <w:t>Containers / Kubernetes</w:t>
            </w:r>
          </w:p>
        </w:tc>
        <w:tc>
          <w:tcPr>
            <w:tcW w:type="dxa" w:w="4680"/>
            <w:tcMar>
              <w:top w:w="85" w:type="dxa"/>
              <w:start w:w="105" w:type="dxa"/>
              <w:bottom w:w="80" w:type="dxa"/>
              <w:end w:w="100" w:type="dxa"/>
            </w:tcMar>
            <w:vAlign w:val="center"/>
          </w:tcPr>
          <w:p>
            <w:pPr>
              <w:spacing w:after="0"/>
            </w:pPr>
            <w:r>
              <w:rPr>
                <w:sz w:val="16"/>
              </w:rPr>
              <w:t>Image base, registry digest, rebuild pipeline and ALL running replicas.</w:t>
            </w:r>
          </w:p>
        </w:tc>
        <w:tc>
          <w:tcPr>
            <w:tcW w:type="dxa" w:w="3024"/>
            <w:tcMar>
              <w:top w:w="85" w:type="dxa"/>
              <w:start w:w="105" w:type="dxa"/>
              <w:bottom w:w="80" w:type="dxa"/>
              <w:end w:w="100" w:type="dxa"/>
            </w:tcMar>
            <w:vAlign w:val="center"/>
          </w:tcPr>
          <w:p>
            <w:pPr>
              <w:spacing w:after="0"/>
            </w:pPr>
            <w:r>
              <w:rPr>
                <w:sz w:val="16"/>
              </w:rPr>
              <w:t>New digest, rollout status, in-container runtime, app tests.</w:t>
            </w:r>
          </w:p>
        </w:tc>
      </w:tr>
      <w:tr>
        <w:tc>
          <w:tcPr>
            <w:tcW w:type="dxa" w:w="2160"/>
            <w:tcMar>
              <w:top w:w="85" w:type="dxa"/>
              <w:start w:w="105" w:type="dxa"/>
              <w:bottom w:w="80" w:type="dxa"/>
              <w:end w:w="100" w:type="dxa"/>
            </w:tcMar>
            <w:vAlign w:val="center"/>
          </w:tcPr>
          <w:p>
            <w:pPr>
              <w:spacing w:after="0"/>
            </w:pPr>
            <w:r>
              <w:rPr>
                <w:sz w:val="16"/>
              </w:rPr>
              <w:t>Managed website / SaaS</w:t>
            </w:r>
          </w:p>
        </w:tc>
        <w:tc>
          <w:tcPr>
            <w:tcW w:type="dxa" w:w="4680"/>
            <w:tcMar>
              <w:top w:w="85" w:type="dxa"/>
              <w:start w:w="105" w:type="dxa"/>
              <w:bottom w:w="80" w:type="dxa"/>
              <w:end w:w="100" w:type="dxa"/>
            </w:tcMar>
            <w:vAlign w:val="center"/>
          </w:tcPr>
          <w:p>
            <w:pPr>
              <w:spacing w:after="0"/>
            </w:pPr>
            <w:r>
              <w:rPr>
                <w:sz w:val="16"/>
              </w:rPr>
              <w:t>Provider patch statement tied to exact service/tenant and date.</w:t>
            </w:r>
          </w:p>
        </w:tc>
        <w:tc>
          <w:tcPr>
            <w:tcW w:type="dxa" w:w="3024"/>
            <w:tcMar>
              <w:top w:w="85" w:type="dxa"/>
              <w:start w:w="105" w:type="dxa"/>
              <w:bottom w:w="80" w:type="dxa"/>
              <w:end w:w="100" w:type="dxa"/>
            </w:tcMar>
            <w:vAlign w:val="center"/>
          </w:tcPr>
          <w:p>
            <w:pPr>
              <w:spacing w:after="0"/>
            </w:pPr>
            <w:r>
              <w:rPr>
                <w:sz w:val="16"/>
              </w:rPr>
              <w:t>Vendor response, corroborating checks, exception if uncertain.</w:t>
            </w:r>
          </w:p>
        </w:tc>
      </w:tr>
      <w:tr>
        <w:tc>
          <w:tcPr>
            <w:tcW w:type="dxa" w:w="2160"/>
            <w:vAlign w:val="center"/>
          </w:tcPr>
          <w:p>
            <w:r>
              <w:rPr>
                <w:sz w:val="18"/>
              </w:rPr>
              <w:t>PAN-OS / Panorama</w:t>
            </w:r>
          </w:p>
        </w:tc>
        <w:tc>
          <w:tcPr>
            <w:tcW w:type="dxa" w:w="4680"/>
            <w:vAlign w:val="center"/>
          </w:tcPr>
          <w:p>
            <w:r>
              <w:rPr>
                <w:sz w:val="18"/>
              </w:rPr>
              <w:t>Management web UI and XML API accessibility, exact vendor branch, jump-host-only restriction; distinguish GlobalProtect portal.</w:t>
            </w:r>
          </w:p>
        </w:tc>
        <w:tc>
          <w:tcPr>
            <w:tcW w:type="dxa" w:w="3024"/>
            <w:vAlign w:val="center"/>
          </w:tcPr>
          <w:p>
            <w:r>
              <w:rPr>
                <w:sz w:val="18"/>
              </w:rPr>
              <w:t>Palo Alto advisory/current fixed-build ETA, ACL review, owner, scope and exposure proof. [S13]</w:t>
            </w:r>
          </w:p>
        </w:tc>
      </w:tr>
      <w:tr>
        <w:tc>
          <w:tcPr>
            <w:tcW w:type="dxa" w:w="2160"/>
            <w:vAlign w:val="center"/>
          </w:tcPr>
          <w:p>
            <w:r>
              <w:rPr>
                <w:sz w:val="18"/>
              </w:rPr>
              <w:t>CloudLinux package families</w:t>
            </w:r>
          </w:p>
        </w:tc>
        <w:tc>
          <w:tcPr>
            <w:tcW w:type="dxa" w:w="4680"/>
            <w:vAlign w:val="center"/>
          </w:tcPr>
          <w:p>
            <w:r>
              <w:rPr>
                <w:sz w:val="18"/>
              </w:rPr>
              <w:t>Differentiate ea-php, alt-php and native; do not rely only on php -v or --security update filtering.</w:t>
            </w:r>
          </w:p>
        </w:tc>
        <w:tc>
          <w:tcPr>
            <w:tcW w:type="dxa" w:w="3024"/>
            <w:vAlign w:val="center"/>
          </w:tcPr>
          <w:p>
            <w:r>
              <w:rPr>
                <w:sz w:val="18"/>
              </w:rPr>
              <w:t>Vendor-specific backport changelog or rebased upstream version; statuspage snapshot and active workers. [S11]</w:t>
            </w:r>
          </w:p>
        </w:tc>
      </w:tr>
      <w:tr>
        <w:tc>
          <w:tcPr>
            <w:tcW w:type="dxa" w:w="2160"/>
            <w:vAlign w:val="center"/>
          </w:tcPr>
          <w:p>
            <w:r>
              <w:t>Cisco Expressway / Select</w:t>
            </w:r>
          </w:p>
        </w:tc>
        <w:tc>
          <w:tcPr>
            <w:tcW w:type="dxa" w:w="4680"/>
            <w:vAlign w:val="center"/>
          </w:tcPr>
          <w:p>
            <w:r>
              <w:t>Verify bug CSCwx37062; release target 15.5.21 (TBD); Cisco-documented bug-specific workaround.</w:t>
            </w:r>
          </w:p>
        </w:tc>
        <w:tc>
          <w:tcPr>
            <w:tcW w:type="dxa" w:w="3024"/>
            <w:vAlign w:val="center"/>
          </w:tcPr>
          <w:p>
            <w:r>
              <w:t>Current exact appliance build, bug notice, control applied, owner, patch check date. [S21]</w:t>
            </w:r>
          </w:p>
        </w:tc>
      </w:tr>
      <w:tr>
        <w:tc>
          <w:tcPr>
            <w:tcW w:type="dxa" w:w="2160"/>
            <w:vAlign w:val="center"/>
          </w:tcPr>
          <w:p>
            <w:r>
              <w:t>Cisco URWB</w:t>
            </w:r>
          </w:p>
        </w:tc>
        <w:tc>
          <w:tcPr>
            <w:tcW w:type="dxa" w:w="4680"/>
            <w:vAlign w:val="center"/>
          </w:tcPr>
          <w:p>
            <w:r>
              <w:t>Verify bug CSCwx37073; release target 27.1.1 (est Feb 2027); administrator-authentication prerequisite; bug-specific workaround.</w:t>
            </w:r>
          </w:p>
        </w:tc>
        <w:tc>
          <w:tcPr>
            <w:tcW w:type="dxa" w:w="3024"/>
            <w:vAlign w:val="center"/>
          </w:tcPr>
          <w:p>
            <w:r>
              <w:t>Administrative access exposure, workaround, customer approval, patch availability follow-up. [S21]</w:t>
            </w:r>
          </w:p>
        </w:tc>
      </w:tr>
      <w:tr>
        <w:tc>
          <w:tcPr>
            <w:tcW w:type="dxa" w:w="2160"/>
            <w:vAlign w:val="center"/>
          </w:tcPr>
          <w:p>
            <w:r>
              <w:t>Cisco Duo Access Gateway</w:t>
            </w:r>
          </w:p>
        </w:tc>
        <w:tc>
          <w:tcPr>
            <w:tcW w:type="dxa" w:w="4680"/>
            <w:vAlign w:val="center"/>
          </w:tcPr>
          <w:p>
            <w:r>
              <w:t>Verify fixed release 3.2.0 and check whether customer deployed it.</w:t>
            </w:r>
          </w:p>
        </w:tc>
        <w:tc>
          <w:tcPr>
            <w:tcW w:type="dxa" w:w="3024"/>
            <w:vAlign w:val="center"/>
          </w:tcPr>
          <w:p>
            <w:r>
              <w:t>Device/software build, vendor release record, test and owner. [S21]</w:t>
            </w:r>
          </w:p>
        </w:tc>
      </w:tr>
      <w:tr>
        <w:tc>
          <w:tcPr>
            <w:tcW w:type="dxa" w:w="2160"/>
            <w:vAlign w:val="center"/>
          </w:tcPr>
          <w:p>
            <w:r>
              <w:t>CloudLinux ELS ALT PHP repository</w:t>
            </w:r>
          </w:p>
        </w:tc>
        <w:tc>
          <w:tcPr>
            <w:tcW w:type="dxa" w:w="4680"/>
            <w:vAlign w:val="center"/>
          </w:tcPr>
          <w:p>
            <w:r>
              <w:t>Confirm php-els is enabled if previously added; status update 23 Oct 21:36 UTC supersedes old disable guidance.</w:t>
            </w:r>
          </w:p>
        </w:tc>
        <w:tc>
          <w:tcPr>
            <w:tcW w:type="dxa" w:w="3024"/>
            <w:vAlign w:val="center"/>
          </w:tcPr>
          <w:p>
            <w:r>
              <w:t>Repo state, cloudlinux-release version, cPanel cl-ea4 state, version/changelog. [S19]</w:t>
            </w:r>
          </w:p>
        </w:tc>
      </w:tr>
    </w:tbl>
    <w:p>
      <w:pPr>
        <w:spacing w:after="0"/>
      </w:pPr>
    </w:p>
    <w:p>
      <w:pPr>
        <w:pStyle w:val="Heading2"/>
      </w:pPr>
      <w:r>
        <w:t>23 OCTOBER VENDOR VERIFICATION NOTES (CONSOLIDATED WITH 22 OCTOBER BASELINE)</w:t>
      </w:r>
    </w:p>
    <w:p>
      <w:pPr/>
      <w:r>
        <w:t>cPanel: verify panel version separately from EasyApache4; published patched panel builds include 110.0.153, 134.0.66, 136.0.50 and 138.0.18. EasyApache4 fixes include ea-php74 7.4.33-19, ea-php80 8.0.30-12 and ea-php81 8.1.34-5; verify affected installation against the live cPanel matrix. A package changelog search such as rpm -q --changelog ea-php81-php-cli | grep -m1 CVE-2026-109618 is one vendor-documented verification method. [S4]</w:t>
      </w:r>
    </w:p>
    <w:p>
      <w:pPr/>
      <w:r>
        <w:t>Plesk: its Linux PHP 7.4/8.0/8.1 patched backports may report the same version number but show a build date of 21 Oct 2026. Plesk Obsidian management fixes are 18.0.80 Update 11 or 18.0.81 Update 4 for sw-engine/plesk-engine. Windows packages for PHP 8.2-8.5 have fixed upstream versions. Verify current applicability and availability. [S5]</w:t>
      </w:r>
    </w:p>
    <w:p>
      <w:pPr/>
      <w:r>
        <w:t>CloudLinux: the 23 October status confirms fixed native PHP in stable for every affected CloudLinux stream and upstream-numbered alt-php and ea-php 8.2-8.5 packages in stable; older backported builds already addressing BOTH CVEs remain fixed. Verify exact distro/family and the running PHP handler, not an upstream number alone. A security-only package filter can miss EA4/ALT advisory metadata. Check cloudlinux-release and cl-ea4 if updates seem absent. UPDATE 23 OCT 21:36 UTC: KEEP the ELS ALT PHP (php-els) repository enabled if it was added; the status page corrects earlier disable advice. [S11, S19]</w:t>
      </w:r>
    </w:p>
    <w:p>
      <w:pPr/>
      <w:r>
        <w:t>Palo Alto Networks: the 21 Oct PAN-OS/Panorama notice identifies affected management interfaces with patched versions pending. The vendor assigns its own product-specific risk score (8.7 when externally reachable), recommends restricting management access to trusted internal addresses or a jump host, and reports no known malicious exploitation against its products. Monitor the product-specific advisory before claiming closure. [S13]</w:t>
      </w:r>
    </w:p>
    <w:p>
      <w:pPr/>
      <w:r>
        <w:t>Cloudflare/Imunify360: confirm active protection at the edge and no alternate origin exposure. Cloudflare reports request-plus-response transaction-based detection; Imunify360 rules cover known upload-progress attack shapes but do not cover every possible exploit path. Record WAF coverage as TEMPORARILY MITIGATED, never as patched. [S6, S11]</w:t>
      </w:r>
    </w:p>
    <w:p>
      <w:pPr/>
      <w:r>
        <w:t>PHP separate advisory (23 Oct): PHP requests session.upload_progress.enabled=0 until the next regular fix for CVE-2026-115560 if applicable. This requires an unusual mix of php_binary/php_serialize configuration followed by a runtime switch to php before session_start(); the two original PHP2Shell CVEs are a separate patch requirement. [S23]</w:t>
      </w:r>
    </w:p>
    <w:p>
      <w:pPr/>
      <w:r>
        <w:t>Sophos/Arctic Wolf (22-23 Oct): treat Potassium-associated network indicators as hunting leads, not proven infection on a customer host. Sophos corrected a successful-exploitation claim to failed/blocked attempts. Confirm Sophos firewall/endpoint rule deployment, including IDs 213184, 213185, 213187, 213188 and 213189, and investigate PHP worker child-process/downloader activity. [S17-S18]</w:t>
      </w:r>
    </w:p>
    <w:p>
      <w:pPr/>
      <w:r>
        <w:t>Cisco (v1.6; 23 Oct 22:39 UTC): affected Expressway Series and Expressway Select Series (fixed target 15.5.21, availability TBD; documented bug-specific workaround), URWB (requires administrator authentication; fixed target 27.1.1, estimated Feb 2027; bug-specific workaround), and Duo Access Gateway (fixed release 3.2.0). Treat published targets as vendor guidance, not proof a customer has deployed them. Cisco reports no known malicious exploitation against its products. [S21]</w:t>
      </w:r>
    </w:p>
    <w:p>
      <w:pPr>
        <w:pStyle w:val="Heading1"/>
      </w:pPr>
      <w:r>
        <w:t>Appendix C. Master tracker, vendor tracker and decision log</w:t>
      </w:r>
    </w:p>
    <w:p>
      <w:r>
        <w:t>The companion toolkit provides three CSV templates suitable for an RMM export, PSA ticket view or managed workbook. Use a controlled repository and define retention and access rules before putting customer data in it. No customer data is included in the templates.</w:t>
      </w:r>
    </w:p>
    <w:p>
      <w:pPr>
        <w:pStyle w:val="ListBullet"/>
      </w:pPr>
      <w:r>
        <w:t>Customer-Asset-Tracker.csv: asset identity, scope, serving PHP, version, SAPI, evidence, risk, owner, change, verification and compromise review.</w:t>
      </w:r>
    </w:p>
    <w:p>
      <w:pPr>
        <w:pStyle w:val="ListBullet"/>
      </w:pPr>
      <w:r>
        <w:t>Vendor-Dependency-Tracker.csv: product, provider contact, advisory, package/fix confirmation, escalation and follow-up.</w:t>
      </w:r>
    </w:p>
    <w:p>
      <w:pPr>
        <w:pStyle w:val="ListBullet"/>
      </w:pPr>
      <w:r>
        <w:t>Response-Decision-Log.csv: timestamps, options, authorization, residual risk, customer approval and review date.</w:t>
      </w:r>
    </w:p>
    <w:p>
      <w:pPr>
        <w:pStyle w:val="Heading1"/>
      </w:pPr>
      <w:r>
        <w:t>Appendix D. Advisory monitoring and document maintenance</w:t>
      </w:r>
    </w:p>
    <w:p>
      <w:r>
        <w:t>During the active emergency, review PHP notices and both GHSAs plus vendor advisories each day. For each revision record effective UTC, exploit reports with evidence level, affected products, release/availability and repository corrections, mitigation limits, new adjacent advisories, compromise-review windows and communication implications. Distribute new downloads with a new version number. Note that the CloudLinux 23 Oct 21:36 UTC status update corrects earlier ELS repository guidance. [S19]</w:t>
      </w:r>
    </w:p>
    <w:tbl>
      <w:tblPr>
        <w:tblW w:type="auto" w:w="0"/>
        <w:jc w:val="center"/>
        <w:tblLayout w:type="fixed"/>
        <w:tblLook w:firstColumn="1" w:firstRow="1" w:lastColumn="0" w:lastRow="0" w:noHBand="0" w:noVBand="1" w:val="04A0"/>
      </w:tblPr>
      <w:tblGrid>
        <w:gridCol w:w="3240"/>
        <w:gridCol w:w="6624"/>
      </w:tblGrid>
      <w:tr>
        <w:trPr>
          <w:tblHeader w:val="true"/>
          <w:tblHeader w:val="true"/>
        </w:trPr>
        <w:tc>
          <w:tcPr>
            <w:tcW w:type="dxa" w:w="4925"/>
            <w:shd w:fill="E7EFF2"/>
            <w:tcMar>
              <w:top w:w="110" w:type="dxa"/>
              <w:start w:w="105" w:type="dxa"/>
              <w:bottom w:w="110" w:type="dxa"/>
              <w:end w:w="105" w:type="dxa"/>
            </w:tcMar>
            <w:vAlign w:val="center"/>
          </w:tcPr>
          <w:p>
            <w:r>
              <w:rPr>
                <w:b/>
                <w:color w:val="173044"/>
                <w:sz w:val="16"/>
              </w:rPr>
              <w:t>Trigger</w:t>
            </w:r>
          </w:p>
        </w:tc>
        <w:tc>
          <w:tcPr>
            <w:tcW w:type="dxa" w:w="4925"/>
            <w:shd w:fill="E7EFF2"/>
            <w:tcMar>
              <w:top w:w="110" w:type="dxa"/>
              <w:start w:w="105" w:type="dxa"/>
              <w:bottom w:w="110" w:type="dxa"/>
              <w:end w:w="105" w:type="dxa"/>
            </w:tcMar>
            <w:vAlign w:val="center"/>
          </w:tcPr>
          <w:p>
            <w:r>
              <w:rPr>
                <w:b/>
                <w:color w:val="173044"/>
                <w:sz w:val="16"/>
              </w:rPr>
              <w:t>Required playbook review</w:t>
            </w:r>
          </w:p>
        </w:tc>
      </w:tr>
      <w:tr>
        <w:tc>
          <w:tcPr>
            <w:tcW w:type="dxa" w:w="3240"/>
            <w:tcMar>
              <w:top w:w="85" w:type="dxa"/>
              <w:start w:w="105" w:type="dxa"/>
              <w:bottom w:w="80" w:type="dxa"/>
              <w:end w:w="100" w:type="dxa"/>
            </w:tcMar>
            <w:vAlign w:val="center"/>
          </w:tcPr>
          <w:p>
            <w:pPr>
              <w:spacing w:after="0"/>
            </w:pPr>
            <w:r>
              <w:rPr>
                <w:sz w:val="16"/>
              </w:rPr>
              <w:t>New fixed/backported package</w:t>
            </w:r>
          </w:p>
        </w:tc>
        <w:tc>
          <w:tcPr>
            <w:tcW w:type="dxa" w:w="6624"/>
            <w:tcMar>
              <w:top w:w="85" w:type="dxa"/>
              <w:start w:w="105" w:type="dxa"/>
              <w:bottom w:w="80" w:type="dxa"/>
              <w:end w:w="100" w:type="dxa"/>
            </w:tcMar>
            <w:vAlign w:val="center"/>
          </w:tcPr>
          <w:p>
            <w:pPr>
              <w:spacing w:after="0"/>
            </w:pPr>
            <w:r>
              <w:rPr>
                <w:sz w:val="16"/>
              </w:rPr>
              <w:t>Update affected-branch table and platform appendix; add provider evidence requirements.</w:t>
            </w:r>
          </w:p>
        </w:tc>
      </w:tr>
      <w:tr>
        <w:tc>
          <w:tcPr>
            <w:tcW w:type="dxa" w:w="3240"/>
            <w:tcMar>
              <w:top w:w="85" w:type="dxa"/>
              <w:start w:w="105" w:type="dxa"/>
              <w:bottom w:w="80" w:type="dxa"/>
              <w:end w:w="100" w:type="dxa"/>
            </w:tcMar>
            <w:vAlign w:val="center"/>
          </w:tcPr>
          <w:p>
            <w:pPr>
              <w:spacing w:after="0"/>
            </w:pPr>
            <w:r>
              <w:rPr>
                <w:sz w:val="16"/>
              </w:rPr>
              <w:t>Confirmed new exploit path or new SAPI impact</w:t>
            </w:r>
          </w:p>
        </w:tc>
        <w:tc>
          <w:tcPr>
            <w:tcW w:type="dxa" w:w="6624"/>
            <w:tcMar>
              <w:top w:w="85" w:type="dxa"/>
              <w:start w:w="105" w:type="dxa"/>
              <w:bottom w:w="80" w:type="dxa"/>
              <w:end w:w="100" w:type="dxa"/>
            </w:tcMar>
            <w:vAlign w:val="center"/>
          </w:tcPr>
          <w:p>
            <w:pPr>
              <w:spacing w:after="0"/>
            </w:pPr>
            <w:r>
              <w:rPr>
                <w:sz w:val="16"/>
              </w:rPr>
              <w:t>Reassess P0/P1, hunt coverage and interim restrictions.</w:t>
            </w:r>
          </w:p>
        </w:tc>
      </w:tr>
      <w:tr>
        <w:tc>
          <w:tcPr>
            <w:tcW w:type="dxa" w:w="3240"/>
            <w:tcMar>
              <w:top w:w="85" w:type="dxa"/>
              <w:start w:w="105" w:type="dxa"/>
              <w:bottom w:w="80" w:type="dxa"/>
              <w:end w:w="100" w:type="dxa"/>
            </w:tcMar>
            <w:vAlign w:val="center"/>
          </w:tcPr>
          <w:p>
            <w:pPr>
              <w:spacing w:after="0"/>
            </w:pPr>
            <w:r>
              <w:rPr>
                <w:sz w:val="16"/>
              </w:rPr>
              <w:t>Observed active exploitation or new IOC</w:t>
            </w:r>
          </w:p>
        </w:tc>
        <w:tc>
          <w:tcPr>
            <w:tcW w:type="dxa" w:w="6624"/>
            <w:tcMar>
              <w:top w:w="85" w:type="dxa"/>
              <w:start w:w="105" w:type="dxa"/>
              <w:bottom w:w="80" w:type="dxa"/>
              <w:end w:w="100" w:type="dxa"/>
            </w:tcMar>
            <w:vAlign w:val="center"/>
          </w:tcPr>
          <w:p>
            <w:pPr>
              <w:spacing w:after="0"/>
            </w:pPr>
            <w:r>
              <w:rPr>
                <w:sz w:val="16"/>
              </w:rPr>
              <w:t>Update hunt checklist, investigation window and customer notification language.</w:t>
            </w:r>
          </w:p>
        </w:tc>
      </w:tr>
      <w:tr>
        <w:tc>
          <w:tcPr>
            <w:tcW w:type="dxa" w:w="3240"/>
            <w:tcMar>
              <w:top w:w="85" w:type="dxa"/>
              <w:start w:w="105" w:type="dxa"/>
              <w:bottom w:w="80" w:type="dxa"/>
              <w:end w:w="100" w:type="dxa"/>
            </w:tcMar>
            <w:vAlign w:val="center"/>
          </w:tcPr>
          <w:p>
            <w:pPr>
              <w:spacing w:after="0"/>
            </w:pPr>
            <w:r>
              <w:rPr>
                <w:sz w:val="16"/>
              </w:rPr>
              <w:t>Mitigation withdrawn or WAF rule changed</w:t>
            </w:r>
          </w:p>
        </w:tc>
        <w:tc>
          <w:tcPr>
            <w:tcW w:type="dxa" w:w="6624"/>
            <w:tcMar>
              <w:top w:w="85" w:type="dxa"/>
              <w:start w:w="105" w:type="dxa"/>
              <w:bottom w:w="80" w:type="dxa"/>
              <w:end w:w="100" w:type="dxa"/>
            </w:tcMar>
            <w:vAlign w:val="center"/>
          </w:tcPr>
          <w:p>
            <w:pPr>
              <w:spacing w:after="0"/>
            </w:pPr>
            <w:r>
              <w:rPr>
                <w:sz w:val="16"/>
              </w:rPr>
              <w:t>Recheck compensating control, exception register and patch urgency.</w:t>
            </w:r>
          </w:p>
        </w:tc>
      </w:tr>
      <w:tr>
        <w:tc>
          <w:tcPr>
            <w:tcW w:type="dxa" w:w="3240"/>
            <w:tcMar>
              <w:top w:w="85" w:type="dxa"/>
              <w:start w:w="105" w:type="dxa"/>
              <w:bottom w:w="80" w:type="dxa"/>
              <w:end w:w="100" w:type="dxa"/>
            </w:tcMar>
            <w:vAlign w:val="center"/>
          </w:tcPr>
          <w:p>
            <w:pPr>
              <w:spacing w:after="0"/>
            </w:pPr>
            <w:r>
              <w:rPr>
                <w:sz w:val="16"/>
              </w:rPr>
              <w:t>New vendor product identified</w:t>
            </w:r>
          </w:p>
        </w:tc>
        <w:tc>
          <w:tcPr>
            <w:tcW w:type="dxa" w:w="6624"/>
            <w:tcMar>
              <w:top w:w="85" w:type="dxa"/>
              <w:start w:w="105" w:type="dxa"/>
              <w:bottom w:w="80" w:type="dxa"/>
              <w:end w:w="100" w:type="dxa"/>
            </w:tcMar>
            <w:vAlign w:val="center"/>
          </w:tcPr>
          <w:p>
            <w:pPr>
              <w:spacing w:after="0"/>
            </w:pPr>
            <w:r>
              <w:rPr>
                <w:sz w:val="16"/>
              </w:rPr>
              <w:t>Expand discovery universe and third-party dependency requests.</w:t>
            </w:r>
          </w:p>
        </w:tc>
      </w:tr>
      <w:tr>
        <w:tc>
          <w:tcPr>
            <w:tcW w:type="dxa" w:w="3240"/>
            <w:vAlign w:val="center"/>
          </w:tcPr>
          <w:p>
            <w:r>
              <w:rPr>
                <w:sz w:val="18"/>
              </w:rPr>
              <w:t>New pre-disclosure attempt telemetry</w:t>
            </w:r>
          </w:p>
        </w:tc>
        <w:tc>
          <w:tcPr>
            <w:tcW w:type="dxa" w:w="6624"/>
            <w:vAlign w:val="center"/>
          </w:tcPr>
          <w:p>
            <w:r>
              <w:rPr>
                <w:sz w:val="18"/>
              </w:rPr>
              <w:t>Extend retrospective hunt to at least 17 Oct 2026 for exposed systems; label unknown logs and distinguish attempts from compromise. [S12]</w:t>
            </w:r>
          </w:p>
        </w:tc>
      </w:tr>
      <w:tr>
        <w:tc>
          <w:tcPr>
            <w:tcW w:type="dxa" w:w="3240"/>
            <w:vAlign w:val="center"/>
          </w:tcPr>
          <w:p>
            <w:r>
              <w:t>Source correction or new related CVE</w:t>
            </w:r>
          </w:p>
        </w:tc>
        <w:tc>
          <w:tcPr>
            <w:tcW w:type="dxa" w:w="6624"/>
            <w:vAlign w:val="center"/>
          </w:tcPr>
          <w:p>
            <w:r>
              <w:t>Replace withdrawn claims; update evidence labels. Keep adjacent CVEs and their mitigation/patch status separate. [S17, S23]</w:t>
            </w:r>
          </w:p>
        </w:tc>
      </w:tr>
    </w:tbl>
    <w:p>
      <w:pPr>
        <w:spacing w:after="0"/>
      </w:pPr>
    </w:p>
    <w:p>
      <w:pPr>
        <w:pStyle w:val="Heading1"/>
      </w:pPr>
      <w:r>
        <w:t>Sources and source-status register</w:t>
      </w:r>
    </w:p>
    <w:p>
      <w:r>
        <w:t>Version 1.2 incorporates PHP and vendor material reviewed through 23 October 2026, including Cisco advisory v1.6 updated 22:39 GMT and CloudLinux ELS repo correction at 21:36 UTC. The latest vendor status page controls if it supersedes a static knowledge-base instruction. Independent lab exploit reports are not confirmed malicious compromise. PHP project releases control upstream fixes; each vendor controls its own patch provenance and applicability.</w:t>
      </w:r>
    </w:p>
    <w:p>
      <w:pPr>
        <w:pStyle w:val="SmallNote"/>
      </w:pPr>
      <w:r>
        <w:rPr>
          <w:b/>
        </w:rPr>
        <w:t xml:space="preserve">[S1] PHP Security Team, Critical remote code execution vulnerabilities, 21 Oct 2026.  </w:t>
      </w:r>
      <w:hyperlink r:id="rId10">
        <w:r>
          <w:rPr>
            <w:color w:val="11666E"/>
            <w:u w:val="single"/>
          </w:rPr>
          <w:t>Source page</w:t>
        </w:r>
      </w:hyperlink>
    </w:p>
    <w:p>
      <w:pPr>
        <w:pStyle w:val="SmallNote"/>
      </w:pPr>
      <w:r>
        <w:rPr>
          <w:b/>
        </w:rPr>
        <w:t xml:space="preserve">[S2] PHP / php-src GHSA-w8hw-w9fx-j79w, RCE via OOM corruption.  </w:t>
      </w:r>
      <w:hyperlink r:id="rId11">
        <w:r>
          <w:rPr>
            <w:color w:val="11666E"/>
            <w:u w:val="single"/>
          </w:rPr>
          <w:t>Source page</w:t>
        </w:r>
      </w:hyperlink>
    </w:p>
    <w:p>
      <w:pPr>
        <w:pStyle w:val="SmallNote"/>
      </w:pPr>
      <w:r>
        <w:rPr>
          <w:b/>
        </w:rPr>
        <w:t xml:space="preserve">[S3] PHP / php-src GHSA-6wmf-4rv5-p3rp, RCE via stale global state.  </w:t>
      </w:r>
      <w:hyperlink r:id="rId12">
        <w:r>
          <w:rPr>
            <w:color w:val="11666E"/>
            <w:u w:val="single"/>
          </w:rPr>
          <w:t>Source page</w:t>
        </w:r>
      </w:hyperlink>
    </w:p>
    <w:p>
      <w:pPr>
        <w:pStyle w:val="SmallNote"/>
      </w:pPr>
      <w:r>
        <w:rPr>
          <w:b/>
        </w:rPr>
        <w:t xml:space="preserve">[S4] cPanel, Critical PHP Security Release.  </w:t>
      </w:r>
      <w:hyperlink r:id="rId13">
        <w:r>
          <w:rPr>
            <w:color w:val="11666E"/>
            <w:u w:val="single"/>
          </w:rPr>
          <w:t>Source page</w:t>
        </w:r>
      </w:hyperlink>
    </w:p>
    <w:p>
      <w:pPr>
        <w:pStyle w:val="SmallNote"/>
      </w:pPr>
      <w:r>
        <w:rPr>
          <w:b/>
        </w:rPr>
        <w:t xml:space="preserve">[S5] Plesk, Remote code execution in PHP shipped with Plesk.  </w:t>
      </w:r>
      <w:hyperlink r:id="rId14">
        <w:r>
          <w:rPr>
            <w:color w:val="11666E"/>
            <w:u w:val="single"/>
          </w:rPr>
          <w:t>Source page</w:t>
        </w:r>
      </w:hyperlink>
    </w:p>
    <w:p>
      <w:pPr>
        <w:pStyle w:val="SmallNote"/>
      </w:pPr>
      <w:r>
        <w:rPr>
          <w:b/>
        </w:rPr>
        <w:t xml:space="preserve">[S6] Cloudflare, Deploys protections against php2shell, 21 Oct 2026.  </w:t>
      </w:r>
      <w:hyperlink r:id="rId15">
        <w:r>
          <w:rPr>
            <w:color w:val="11666E"/>
            <w:u w:val="single"/>
          </w:rPr>
          <w:t>Source page</w:t>
        </w:r>
      </w:hyperlink>
    </w:p>
    <w:p>
      <w:pPr>
        <w:pStyle w:val="SmallNote"/>
      </w:pPr>
      <w:r>
        <w:rPr>
          <w:b/>
        </w:rPr>
        <w:t xml:space="preserve">[S7] Netherlands NCSC, PHP2Shell operational repository (public).  </w:t>
      </w:r>
      <w:hyperlink r:id="rId16">
        <w:r>
          <w:rPr>
            <w:color w:val="11666E"/>
            <w:u w:val="single"/>
          </w:rPr>
          <w:t>Source page</w:t>
        </w:r>
      </w:hyperlink>
    </w:p>
    <w:p>
      <w:pPr>
        <w:pStyle w:val="SmallNote"/>
      </w:pPr>
      <w:r>
        <w:rPr>
          <w:b/>
        </w:rPr>
        <w:t xml:space="preserve">[S8] Armis, PHP2Shell: How to Find, Prioritize, and Patch Affected Systems.  </w:t>
      </w:r>
      <w:hyperlink r:id="rId17">
        <w:r>
          <w:rPr>
            <w:color w:val="11666E"/>
            <w:u w:val="single"/>
          </w:rPr>
          <w:t>Source page</w:t>
        </w:r>
      </w:hyperlink>
    </w:p>
    <w:p>
      <w:pPr>
        <w:pStyle w:val="SmallNote"/>
      </w:pPr>
      <w:r>
        <w:rPr>
          <w:b/>
        </w:rPr>
        <w:t xml:space="preserve">[S9] CERT-EU, Security Advisory 2026-018.  </w:t>
      </w:r>
      <w:hyperlink r:id="rId18">
        <w:r>
          <w:rPr>
            <w:color w:val="11666E"/>
            <w:u w:val="single"/>
          </w:rPr>
          <w:t>Source page</w:t>
        </w:r>
      </w:hyperlink>
    </w:p>
    <w:p>
      <w:pPr>
        <w:pStyle w:val="SmallNote"/>
      </w:pPr>
      <w:r>
        <w:rPr>
          <w:b/>
        </w:rPr>
        <w:t xml:space="preserve">[S10] PHP Supported Versions.  </w:t>
      </w:r>
      <w:hyperlink r:id="rId19">
        <w:r>
          <w:rPr>
            <w:color w:val="11666E"/>
            <w:u w:val="single"/>
          </w:rPr>
          <w:t>Source page</w:t>
        </w:r>
      </w:hyperlink>
    </w:p>
    <w:p>
      <w:pPr>
        <w:pStyle w:val="SmallNote"/>
      </w:pPr>
      <w:r>
        <w:rPr>
          <w:b/>
        </w:rPr>
        <w:t xml:space="preserve">[S11] CloudLinux, PHP CVEs and Imunify360 interim rule guidance.  </w:t>
      </w:r>
      <w:hyperlink r:id="rId20">
        <w:r>
          <w:rPr>
            <w:color w:val="11666E"/>
            <w:u w:val="single"/>
          </w:rPr>
          <w:t>Source page</w:t>
        </w:r>
      </w:hyperlink>
    </w:p>
    <w:p>
      <w:pPr>
        <w:pStyle w:val="SmallNote"/>
      </w:pPr>
      <w:r>
        <w:t xml:space="preserve">[S12] Amazon Threat Intelligence, MadPot PHP2Shell attempted exploitation starting 17 Oct; published 21 Oct 2026.  </w:t>
      </w:r>
      <w:hyperlink r:id="rId21">
        <w:r>
          <w:rPr>
            <w:color w:val="165E87"/>
            <w:u w:val="single"/>
          </w:rPr>
          <w:t>Source page</w:t>
        </w:r>
      </w:hyperlink>
    </w:p>
    <w:p>
      <w:pPr>
        <w:pStyle w:val="SmallNote"/>
      </w:pPr>
      <w:r>
        <w:t xml:space="preserve">[S13] Palo Alto Networks, PHP2Shell impact across PAN-OS and Panorama; initial advisory 21 Oct 2026.  </w:t>
      </w:r>
      <w:hyperlink r:id="rId22">
        <w:r>
          <w:rPr>
            <w:color w:val="165E87"/>
            <w:u w:val="single"/>
          </w:rPr>
          <w:t>Source page</w:t>
        </w:r>
      </w:hyperlink>
    </w:p>
    <w:p>
      <w:pPr>
        <w:pStyle w:val="SmallNote"/>
      </w:pPr>
      <w:r>
        <w:t xml:space="preserve">[S14] CloudLinux, live PHP2Shell package status and availability updates, 22 Oct 2026.  </w:t>
      </w:r>
      <w:hyperlink r:id="rId23">
        <w:r>
          <w:rPr>
            <w:color w:val="165E87"/>
            <w:u w:val="single"/>
          </w:rPr>
          <w:t>Source page</w:t>
        </w:r>
      </w:hyperlink>
    </w:p>
    <w:p>
      <w:pPr>
        <w:pStyle w:val="SmallNote"/>
      </w:pPr>
      <w:r>
        <w:t xml:space="preserve">[S15] Plesk, version/build-specific fixed runtimes and management engine; updated 22 Oct 2026.  </w:t>
      </w:r>
      <w:hyperlink r:id="rId24">
        <w:r>
          <w:rPr>
            <w:color w:val="165E87"/>
            <w:u w:val="single"/>
          </w:rPr>
          <w:t>Source page</w:t>
        </w:r>
      </w:hyperlink>
    </w:p>
    <w:p>
      <w:pPr>
        <w:pStyle w:val="SmallNote"/>
      </w:pPr>
      <w:r>
        <w:t xml:space="preserve">[S16] cPanel, updated panel and EasyApache4 patch matrix; updated 22 Oct 2026.  </w:t>
      </w:r>
      <w:hyperlink r:id="rId13">
        <w:r>
          <w:rPr>
            <w:color w:val="165E87"/>
            <w:u w:val="single"/>
          </w:rPr>
          <w:t>Source page</w:t>
        </w:r>
      </w:hyperlink>
    </w:p>
    <w:p>
      <w:pPr>
        <w:spacing w:after="100"/>
      </w:pPr>
      <w:r>
        <w:rPr>
          <w:sz w:val="16"/>
        </w:rPr>
        <w:t xml:space="preserve">[S17] Sophos X-Ops: Proof-of-concept exploit released for PHP vulnerabilities; corrected Oct 22 21:21 UTC; updated Oct 23 19:31 UTC.  </w:t>
      </w:r>
      <w:hyperlink r:id="rId25">
        <w:r>
          <w:rPr>
            <w:color w:val="007B92"/>
            <w:u w:val="single"/>
            <w:sz w:val="16"/>
          </w:rPr>
          <w:t>Source page</w:t>
        </w:r>
      </w:hyperlink>
    </w:p>
    <w:p>
      <w:pPr>
        <w:spacing w:after="100"/>
      </w:pPr>
      <w:r>
        <w:rPr>
          <w:sz w:val="16"/>
        </w:rPr>
        <w:t xml:space="preserve">[S18] Arctic Wolf Labs: PHP2Shell attempted payload retrieval and Potassium infrastructure, Oct 22.  </w:t>
      </w:r>
      <w:hyperlink r:id="rId26">
        <w:r>
          <w:rPr>
            <w:color w:val="007B92"/>
            <w:u w:val="single"/>
            <w:sz w:val="16"/>
          </w:rPr>
          <w:t>Source page</w:t>
        </w:r>
      </w:hyperlink>
    </w:p>
    <w:p>
      <w:pPr>
        <w:spacing w:after="100"/>
      </w:pPr>
      <w:r>
        <w:rPr>
          <w:sz w:val="16"/>
        </w:rPr>
        <w:t xml:space="preserve">[S19] CloudLinux: PHP2Shell live incident/status including 23 Oct 13:10 UTC ea-php update and 21:36 UTC php-els correction; CloudLinux verification KB updated Oct 23.  </w:t>
      </w:r>
      <w:hyperlink r:id="rId27">
        <w:r>
          <w:rPr>
            <w:color w:val="007B92"/>
            <w:u w:val="single"/>
            <w:sz w:val="16"/>
          </w:rPr>
          <w:t>Source page</w:t>
        </w:r>
      </w:hyperlink>
    </w:p>
    <w:p>
      <w:pPr>
        <w:spacing w:after="100"/>
      </w:pPr>
      <w:r>
        <w:rPr>
          <w:sz w:val="16"/>
        </w:rPr>
        <w:t xml:space="preserve">[S20] VulnCheck: PHP2Shell independent lab RCE results, expanded Oct 23 17:30 ET.  </w:t>
      </w:r>
      <w:hyperlink r:id="rId28">
        <w:r>
          <w:rPr>
            <w:color w:val="007B92"/>
            <w:u w:val="single"/>
            <w:sz w:val="16"/>
          </w:rPr>
          <w:t>Source page</w:t>
        </w:r>
      </w:hyperlink>
    </w:p>
    <w:p>
      <w:pPr>
        <w:spacing w:after="100"/>
      </w:pPr>
      <w:r>
        <w:rPr>
          <w:sz w:val="16"/>
        </w:rPr>
        <w:t xml:space="preserve">[S21] Cisco PSIRT: Vulnerabilities in PHP Affecting Cisco Products; version 1.6 updated 23 Oct 22:39 GMT.  </w:t>
      </w:r>
      <w:hyperlink r:id="rId29">
        <w:r>
          <w:rPr>
            <w:color w:val="007B92"/>
            <w:u w:val="single"/>
            <w:sz w:val="16"/>
          </w:rPr>
          <w:t>Source page</w:t>
        </w:r>
      </w:hyperlink>
    </w:p>
    <w:p>
      <w:pPr>
        <w:spacing w:after="100"/>
      </w:pPr>
      <w:r>
        <w:rPr>
          <w:sz w:val="16"/>
        </w:rPr>
        <w:t xml:space="preserve">[S22] CloudLinux: exact alt-php/ea-php patched package guide, updated Oct 23. Read with later status corrections.  </w:t>
      </w:r>
      <w:hyperlink r:id="rId30">
        <w:r>
          <w:rPr>
            <w:color w:val="007B92"/>
            <w:u w:val="single"/>
            <w:sz w:val="16"/>
          </w:rPr>
          <w:t>Source page</w:t>
        </w:r>
      </w:hyperlink>
    </w:p>
    <w:p>
      <w:pPr>
        <w:spacing w:after="100"/>
      </w:pPr>
      <w:r>
        <w:rPr>
          <w:sz w:val="16"/>
        </w:rPr>
        <w:t xml:space="preserve">[S23] PHP project: Informational advisory, Session upload progress, Oct 23; separate CVE-2026-115560.  </w:t>
      </w:r>
      <w:hyperlink r:id="rId31">
        <w:r>
          <w:rPr>
            <w:color w:val="007B92"/>
            <w:u w:val="single"/>
            <w:sz w:val="16"/>
          </w:rPr>
          <w:t>Source page</w:t>
        </w:r>
      </w:hyperlink>
    </w:p>
    <w:p>
      <w:pPr>
        <w:pStyle w:val="Heading2"/>
      </w:pPr>
      <w:r>
        <w:t>Version history</w:t>
      </w:r>
    </w:p>
    <w:p>
      <w:pPr>
        <w:pStyle w:val="SmallNote"/>
      </w:pPr>
      <w:r>
        <w:t>v1.0 | 21 Oct 2026: First free operational MSP response playbook.</w:t>
      </w:r>
    </w:p>
    <w:p>
      <w:pPr>
        <w:pStyle w:val="SmallNote"/>
      </w:pPr>
      <w:r>
        <w:t>v1.1 | 22 Oct 2026: Updated 17 Oct retrospective review baseline; added confirmed attempt-vs-compromise distinction, PAN-OS/Panorama management scope, cPanel/Plesk/CloudLinux release and backport verification, interim WAF limits, and revised asset closure evidence.</w:t>
      </w:r>
    </w:p>
    <w:p>
      <w:pPr/>
      <w:r>
        <w:t>v1.2 | 23 Oct 2026: Corrected Sophos exploitation characterization; CloudLinux native, alt-php, ea-php fix and php-els repo guidance; Cisco appliance status; VulnCheck expanded laboratory exploit coverage; new Sophos detection references; separate CVE-2026-115560 notice; updated risk, hunts, closure and vendor language.</w:t>
      </w:r>
    </w:p>
    <w:sectPr w:rsidR="00FC693F" w:rsidRPr="0006063C" w:rsidSect="00034616">
      <w:footerReference w:type="default" r:id="rId9"/>
      <w:pgSz w:w="12240" w:h="15840"/>
      <w:pgMar w:top="1051" w:right="1195" w:bottom="979" w:left="1195" w:header="518"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PHP2Shell MSP Playbook  |  v1.2  |  23 Oct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8" w:line="271" w:lineRule="auto"/>
    </w:pPr>
    <w:rPr>
      <w:rFonts w:ascii="Aptos" w:hAnsi="Aptos"/>
      <w:color w:val="242B33"/>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00"/>
      <w:outlineLvl w:val="0"/>
    </w:pPr>
    <w:rPr>
      <w:rFonts w:asciiTheme="majorHAnsi" w:eastAsiaTheme="majorEastAsia" w:hAnsiTheme="majorHAnsi" w:cstheme="majorBidi" w:ascii="Aptos Display" w:hAnsi="Aptos Display"/>
      <w:b/>
      <w:bCs/>
      <w:color w:val="173044"/>
      <w:sz w:val="29"/>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w:hAnsi="Aptos"/>
      <w:b/>
      <w:bCs/>
      <w:color w:val="11666E"/>
      <w:sz w:val="22"/>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Aptos" w:hAnsi="Aptos"/>
      <w:b/>
      <w:bCs/>
      <w:color w:val="11666E"/>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before="0"/>
      <w:contextualSpacing/>
    </w:pPr>
    <w:rPr>
      <w:rFonts w:asciiTheme="majorHAnsi" w:eastAsiaTheme="majorEastAsia" w:hAnsiTheme="majorHAnsi" w:cstheme="majorBidi" w:ascii="Aptos Display" w:hAnsi="Aptos Display"/>
      <w:b/>
      <w:color w:val="173044"/>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70"/>
      <w:contextualSpacing/>
    </w:pPr>
    <w:rPr>
      <w:rFonts w:ascii="Aptos" w:hAnsi="Aptos"/>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70"/>
      <w:contextualSpacing/>
    </w:pPr>
    <w:rPr>
      <w:rFonts w:ascii="Aptos" w:hAnsi="Aptos"/>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100"/>
    </w:pPr>
    <w:rPr>
      <w:rFonts w:ascii="Aptos" w:hAnsi="Aptos"/>
      <w:color w:val="505B64"/>
      <w:sz w:val="17"/>
    </w:rPr>
  </w:style>
  <w:style w:type="paragraph" w:customStyle="1" w:styleId="CodeLine">
    <w:name w:val="Code Line"/>
    <w:pPr>
      <w:spacing w:after="0" w:line="254" w:lineRule="auto"/>
      <w:ind w:left="187"/>
    </w:pPr>
    <w:rPr>
      <w:rFonts w:ascii="Consolas" w:hAnsi="Consolas"/>
      <w:color w:val="173044"/>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php.net/archive/2026.php#2026-10-21-5" TargetMode="External"/><Relationship Id="rId11" Type="http://schemas.openxmlformats.org/officeDocument/2006/relationships/hyperlink" Target="https://github.com/php/php-src/security/advisories/GHSA-w8hw-w9fx-j79w" TargetMode="External"/><Relationship Id="rId12" Type="http://schemas.openxmlformats.org/officeDocument/2006/relationships/hyperlink" Target="https://github.com/php/php-src/security/advisories/GHSA-6wmf-4rv5-p3rp" TargetMode="External"/><Relationship Id="rId13" Type="http://schemas.openxmlformats.org/officeDocument/2006/relationships/hyperlink" Target="https://support.cpanel.net/hc/en-us/articles/44397389677335-Critical-PHP-Security-Release-CVE-2026-109618-and-CVE-2026-109619" TargetMode="External"/><Relationship Id="rId14" Type="http://schemas.openxmlformats.org/officeDocument/2006/relationships/hyperlink" Target="https://support.plesk.com/hc/en-us/articles/44397729587351-Vulnerability-CVE-2026-109618-and-CVE-2026-109619-Remote-code-execution-in-PHP-shipped-with-Plesk" TargetMode="External"/><Relationship Id="rId15" Type="http://schemas.openxmlformats.org/officeDocument/2006/relationships/hyperlink" Target="https://blog.cloudflare.com/php-vulnerabilities-waf-protection" TargetMode="External"/><Relationship Id="rId16" Type="http://schemas.openxmlformats.org/officeDocument/2006/relationships/hyperlink" Target="https://github.com/NCSC-NL/php2shell" TargetMode="External"/><Relationship Id="rId17" Type="http://schemas.openxmlformats.org/officeDocument/2006/relationships/hyperlink" Target="https://www.armis.com/blog/php2shell-how-to-find-prioritize-and-patch-affected-systems/" TargetMode="External"/><Relationship Id="rId18" Type="http://schemas.openxmlformats.org/officeDocument/2006/relationships/hyperlink" Target="https://cert.europa.eu/publications/security-advisories/2026-018" TargetMode="External"/><Relationship Id="rId19" Type="http://schemas.openxmlformats.org/officeDocument/2006/relationships/hyperlink" Target="https://www.php.net/supported-versions.php" TargetMode="External"/><Relationship Id="rId20" Type="http://schemas.openxmlformats.org/officeDocument/2006/relationships/hyperlink" Target="https://blog.cloudlinux.com/php-cve-2026-109618-and-cve-2026-109619" TargetMode="External"/><Relationship Id="rId21" Type="http://schemas.openxmlformats.org/officeDocument/2006/relationships/hyperlink" Target="https://aws.amazon.com/blogs/security/amazon-threat-intelligence-identifies-php2shell-exploitation-prior-to-public-disclosure-in-madpot/" TargetMode="External"/><Relationship Id="rId22" Type="http://schemas.openxmlformats.org/officeDocument/2006/relationships/hyperlink" Target="https://security.paloaltonetworks.com/CVE-2026-109618" TargetMode="External"/><Relationship Id="rId23" Type="http://schemas.openxmlformats.org/officeDocument/2006/relationships/hyperlink" Target="https://cloudlinux.statuspage.io/" TargetMode="External"/><Relationship Id="rId24" Type="http://schemas.openxmlformats.org/officeDocument/2006/relationships/hyperlink" Target="https://support.plesk.com/hc/en-us/articles/44397729587351-Vulnerability-CVE-2026-109618-and-CVE-2026-109619-PHP2Shell-Remote-code-execution-in-PHP-shipped-with-Plesk" TargetMode="External"/><Relationship Id="rId25" Type="http://schemas.openxmlformats.org/officeDocument/2006/relationships/hyperlink" Target="https://www.sophos.com/en-us/blog/proof-of-concept-exploit-released-for-php-vulnerabilities-109618-109619" TargetMode="External"/><Relationship Id="rId26" Type="http://schemas.openxmlformats.org/officeDocument/2006/relationships/hyperlink" Target="https://arcticwolf.com/resources/blog/php2shell-critical-php-vulnerabilities-enable-unauthenticated-remote-code-execution/" TargetMode="External"/><Relationship Id="rId27" Type="http://schemas.openxmlformats.org/officeDocument/2006/relationships/hyperlink" Target="https://cloudlinux.statuspage.io/incidents/zl0vt1yq3dj5" TargetMode="External"/><Relationship Id="rId28" Type="http://schemas.openxmlformats.org/officeDocument/2006/relationships/hyperlink" Target="https://www.vulncheck.com/blog/php2shell-vulnerabilities" TargetMode="External"/><Relationship Id="rId29" Type="http://schemas.openxmlformats.org/officeDocument/2006/relationships/hyperlink" Target="https://sec.cloudapps.cisco.com/security/center/content/CiscoSecurityAdvisory/cisco-sa-php-october26-Jj384Daq" TargetMode="External"/><Relationship Id="rId30" Type="http://schemas.openxmlformats.org/officeDocument/2006/relationships/hyperlink" Target="https://cloudlinux.zendesk.com/hc/en-us/articles/31194180517916-PHP-CVE-2026-109618-CVE-2026-109619-PHP2Shell-fixed-alt-php-and-ea-php-packages-and-how-to-verify" TargetMode="External"/><Relationship Id="rId31" Type="http://schemas.openxmlformats.org/officeDocument/2006/relationships/hyperlink" Target="https://www.php.net/archive/2026.php#2026-10-2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PHP2Shell MSP Emergency Response Playbook v1.2</dc:title>
  <dc:subject>Critical PHP CVEs 109618 and 109619, vendor updates to 23 October 2026</dc:subject>
  <dc:creator/>
  <cp:keywords>PHP2Shell,CVE-2026-109618,CVE-2026-109619,MSP,incident response</cp:keywords>
  <dc:description>Free unbranded defensive reference; updated 2026-10-23</dc:description>
  <cp:lastModifiedBy/>
  <cp:revision>1</cp:revision>
  <dcterms:created xsi:type="dcterms:W3CDTF">2013-12-23T23:15:00Z</dcterms:created>
  <dcterms:modified xsi:type="dcterms:W3CDTF">2013-12-23T23:15:00Z</dcterms:modified>
  <cp:category/>
</cp:coreProperties>
</file>